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E85" w:rsidRDefault="00546E85" w:rsidP="00546E85">
      <w:pPr>
        <w:jc w:val="center"/>
        <w:rPr>
          <w:rFonts w:ascii="Arial Narrow" w:hAnsi="Arial Narrow"/>
          <w:b/>
          <w:color w:val="BF8F00"/>
          <w:sz w:val="60"/>
          <w:szCs w:val="60"/>
        </w:rPr>
      </w:pPr>
    </w:p>
    <w:p w:rsidR="00546E85" w:rsidRDefault="00546E85" w:rsidP="00546E85">
      <w:pPr>
        <w:jc w:val="center"/>
        <w:rPr>
          <w:rFonts w:ascii="Arial Narrow" w:hAnsi="Arial Narrow"/>
          <w:b/>
          <w:color w:val="BF8F00"/>
          <w:sz w:val="60"/>
          <w:szCs w:val="60"/>
        </w:rPr>
      </w:pPr>
    </w:p>
    <w:p w:rsidR="00546E85" w:rsidRDefault="00546E85" w:rsidP="00546E85">
      <w:pPr>
        <w:jc w:val="center"/>
        <w:rPr>
          <w:rFonts w:ascii="Arial Narrow" w:hAnsi="Arial Narrow"/>
          <w:b/>
          <w:color w:val="BF8F00"/>
          <w:sz w:val="60"/>
          <w:szCs w:val="60"/>
        </w:rPr>
      </w:pPr>
    </w:p>
    <w:p w:rsidR="00546E85" w:rsidRDefault="00546E85" w:rsidP="00546E85">
      <w:pPr>
        <w:jc w:val="center"/>
        <w:rPr>
          <w:rFonts w:ascii="Arial Narrow" w:hAnsi="Arial Narrow"/>
          <w:b/>
          <w:color w:val="BF8F00"/>
          <w:sz w:val="60"/>
          <w:szCs w:val="60"/>
        </w:rPr>
      </w:pPr>
    </w:p>
    <w:p w:rsidR="00546E85" w:rsidRDefault="00546E85" w:rsidP="00546E85">
      <w:pPr>
        <w:jc w:val="center"/>
        <w:rPr>
          <w:rFonts w:ascii="Arial Narrow" w:hAnsi="Arial Narrow"/>
          <w:b/>
          <w:color w:val="BF8F00"/>
          <w:sz w:val="60"/>
          <w:szCs w:val="60"/>
        </w:rPr>
      </w:pPr>
    </w:p>
    <w:p w:rsidR="00546E85" w:rsidRDefault="00546E85" w:rsidP="00546E85">
      <w:pPr>
        <w:jc w:val="center"/>
        <w:rPr>
          <w:rFonts w:ascii="Arial Narrow" w:hAnsi="Arial Narrow"/>
          <w:b/>
          <w:color w:val="BF8F00"/>
          <w:sz w:val="60"/>
          <w:szCs w:val="60"/>
        </w:rPr>
      </w:pPr>
    </w:p>
    <w:p w:rsidR="00546E85" w:rsidRDefault="00546E85" w:rsidP="00546E85">
      <w:pPr>
        <w:jc w:val="center"/>
        <w:rPr>
          <w:rFonts w:ascii="Arial Narrow" w:hAnsi="Arial Narrow"/>
          <w:b/>
          <w:color w:val="BF8F00"/>
          <w:sz w:val="60"/>
          <w:szCs w:val="60"/>
        </w:rPr>
      </w:pPr>
    </w:p>
    <w:p w:rsidR="00546E85" w:rsidRDefault="00546E85" w:rsidP="00546E85">
      <w:pPr>
        <w:jc w:val="center"/>
        <w:rPr>
          <w:rFonts w:ascii="Arial Narrow" w:hAnsi="Arial Narrow"/>
          <w:b/>
          <w:color w:val="BF8F00"/>
          <w:sz w:val="60"/>
          <w:szCs w:val="60"/>
        </w:rPr>
      </w:pPr>
    </w:p>
    <w:p w:rsidR="00546E85" w:rsidRPr="00847B4B" w:rsidRDefault="00546E85" w:rsidP="00546E85">
      <w:pPr>
        <w:jc w:val="center"/>
      </w:pPr>
      <w:r w:rsidRPr="00CE1D65">
        <w:rPr>
          <w:rFonts w:ascii="Arial Narrow" w:hAnsi="Arial Narrow"/>
          <w:b/>
          <w:color w:val="BF8F00"/>
          <w:sz w:val="60"/>
          <w:szCs w:val="60"/>
        </w:rPr>
        <w:t>PREHĽAD VÝSTUPOV</w:t>
      </w:r>
    </w:p>
    <w:p w:rsidR="00546E85" w:rsidRPr="00CE1D65" w:rsidRDefault="00546E85" w:rsidP="00546E85">
      <w:pPr>
        <w:rPr>
          <w:color w:val="BF8F00"/>
        </w:rPr>
      </w:pPr>
    </w:p>
    <w:p w:rsidR="00546E85" w:rsidRPr="00CE1D65" w:rsidRDefault="00546E85" w:rsidP="00546E85">
      <w:pPr>
        <w:jc w:val="center"/>
        <w:rPr>
          <w:color w:val="BF8F00"/>
          <w:sz w:val="40"/>
          <w:szCs w:val="40"/>
        </w:rPr>
      </w:pPr>
      <w:r>
        <w:rPr>
          <w:rFonts w:ascii="Arial Narrow" w:hAnsi="Arial Narrow"/>
          <w:b/>
          <w:color w:val="BF8F00"/>
          <w:sz w:val="40"/>
          <w:szCs w:val="40"/>
        </w:rPr>
        <w:t xml:space="preserve">JÚL </w:t>
      </w:r>
      <w:r w:rsidRPr="00CE1D65">
        <w:rPr>
          <w:rFonts w:ascii="Arial Narrow" w:hAnsi="Arial Narrow"/>
          <w:b/>
          <w:color w:val="BF8F00"/>
          <w:sz w:val="40"/>
          <w:szCs w:val="40"/>
        </w:rPr>
        <w:t>201</w:t>
      </w:r>
      <w:r>
        <w:rPr>
          <w:rFonts w:ascii="Arial Narrow" w:hAnsi="Arial Narrow"/>
          <w:b/>
          <w:color w:val="BF8F00"/>
          <w:sz w:val="40"/>
          <w:szCs w:val="40"/>
        </w:rPr>
        <w:t>9</w:t>
      </w:r>
      <w:r w:rsidRPr="00CE1D65">
        <w:rPr>
          <w:rFonts w:ascii="Arial Narrow" w:hAnsi="Arial Narrow"/>
          <w:b/>
          <w:color w:val="BF8F00"/>
          <w:sz w:val="40"/>
          <w:szCs w:val="40"/>
        </w:rPr>
        <w:t xml:space="preserve"> </w:t>
      </w:r>
    </w:p>
    <w:p w:rsidR="00546E85" w:rsidRPr="00CE1D65" w:rsidRDefault="00546E85" w:rsidP="00546E85">
      <w:pPr>
        <w:jc w:val="center"/>
      </w:pPr>
    </w:p>
    <w:p w:rsidR="00546E85" w:rsidRPr="00CE1D65" w:rsidRDefault="00546E85" w:rsidP="00546E85">
      <w:pPr>
        <w:jc w:val="center"/>
      </w:pPr>
    </w:p>
    <w:p w:rsidR="00546E85" w:rsidRPr="00CE1D65" w:rsidRDefault="00546E85" w:rsidP="00546E85">
      <w:pPr>
        <w:jc w:val="center"/>
        <w:rPr>
          <w:rFonts w:ascii="Arial Narrow" w:hAnsi="Arial Narrow"/>
          <w:b/>
          <w:color w:val="002060"/>
          <w:sz w:val="40"/>
          <w:szCs w:val="40"/>
        </w:rPr>
      </w:pPr>
      <w:r w:rsidRPr="00CE1D65">
        <w:rPr>
          <w:noProof/>
        </w:rPr>
        <w:drawing>
          <wp:anchor distT="0" distB="0" distL="114300" distR="114300" simplePos="0" relativeHeight="251658240" behindDoc="1" locked="0" layoutInCell="1" allowOverlap="1" wp14:anchorId="6AC1A6E7" wp14:editId="222CE47B">
            <wp:simplePos x="0" y="0"/>
            <wp:positionH relativeFrom="column">
              <wp:posOffset>2338137</wp:posOffset>
            </wp:positionH>
            <wp:positionV relativeFrom="paragraph">
              <wp:posOffset>223520</wp:posOffset>
            </wp:positionV>
            <wp:extent cx="1915160" cy="1889760"/>
            <wp:effectExtent l="0" t="0" r="8890" b="0"/>
            <wp:wrapTight wrapText="bothSides">
              <wp:wrapPolygon edited="0">
                <wp:start x="8164" y="0"/>
                <wp:lineTo x="5156" y="1089"/>
                <wp:lineTo x="2149" y="2831"/>
                <wp:lineTo x="1934" y="3702"/>
                <wp:lineTo x="215" y="6968"/>
                <wp:lineTo x="0" y="10234"/>
                <wp:lineTo x="0" y="13935"/>
                <wp:lineTo x="1719" y="17419"/>
                <wp:lineTo x="1934" y="18290"/>
                <wp:lineTo x="6446" y="20903"/>
                <wp:lineTo x="8164" y="21339"/>
                <wp:lineTo x="13321" y="21339"/>
                <wp:lineTo x="15255" y="20903"/>
                <wp:lineTo x="19552" y="18290"/>
                <wp:lineTo x="19767" y="17419"/>
                <wp:lineTo x="21485" y="13935"/>
                <wp:lineTo x="21485" y="6968"/>
                <wp:lineTo x="19552" y="3048"/>
                <wp:lineTo x="16329" y="1089"/>
                <wp:lineTo x="13321" y="0"/>
                <wp:lineTo x="8164" y="0"/>
              </wp:wrapPolygon>
            </wp:wrapTight>
            <wp:docPr id="100142" name="Obrázok 41" descr="Výsledok vyhľadávania obrázkov pre dopyt Únia peká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1" descr="Výsledok vyhľadávania obrázkov pre dopyt Únia pekárov"/>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15160" cy="188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E85" w:rsidRPr="00CE1D65" w:rsidRDefault="00546E85" w:rsidP="00546E85">
      <w:pPr>
        <w:jc w:val="center"/>
        <w:rPr>
          <w:rFonts w:ascii="Arial Narrow" w:hAnsi="Arial Narrow"/>
          <w:b/>
          <w:color w:val="002060"/>
          <w:sz w:val="32"/>
          <w:szCs w:val="32"/>
        </w:rPr>
      </w:pPr>
    </w:p>
    <w:p w:rsidR="00546E85" w:rsidRPr="00CE1D65" w:rsidRDefault="00546E85" w:rsidP="00546E85">
      <w:pPr>
        <w:jc w:val="center"/>
        <w:rPr>
          <w:rFonts w:ascii="Arial Narrow" w:hAnsi="Arial Narrow"/>
          <w:b/>
          <w:color w:val="002060"/>
          <w:sz w:val="32"/>
          <w:szCs w:val="32"/>
        </w:rPr>
      </w:pPr>
    </w:p>
    <w:p w:rsidR="00546E85" w:rsidRPr="00CE1D65" w:rsidRDefault="00546E85" w:rsidP="00546E85">
      <w:pPr>
        <w:jc w:val="center"/>
        <w:rPr>
          <w:rFonts w:ascii="Arial Narrow" w:hAnsi="Arial Narrow"/>
          <w:b/>
          <w:color w:val="002060"/>
          <w:sz w:val="32"/>
          <w:szCs w:val="32"/>
        </w:rPr>
      </w:pPr>
    </w:p>
    <w:p w:rsidR="00546E85" w:rsidRPr="00CE1D65" w:rsidRDefault="00546E85" w:rsidP="00546E85">
      <w:pPr>
        <w:jc w:val="center"/>
        <w:rPr>
          <w:rFonts w:ascii="Arial Narrow" w:hAnsi="Arial Narrow"/>
          <w:b/>
          <w:color w:val="002060"/>
          <w:sz w:val="32"/>
          <w:szCs w:val="32"/>
        </w:rPr>
      </w:pPr>
    </w:p>
    <w:p w:rsidR="00546E85" w:rsidRPr="00CE1D65" w:rsidRDefault="00546E85" w:rsidP="00546E85">
      <w:pPr>
        <w:jc w:val="center"/>
        <w:rPr>
          <w:rFonts w:ascii="Arial Narrow" w:hAnsi="Arial Narrow"/>
          <w:b/>
          <w:color w:val="002060"/>
          <w:sz w:val="32"/>
          <w:szCs w:val="32"/>
        </w:rPr>
      </w:pPr>
    </w:p>
    <w:p w:rsidR="00546E85" w:rsidRPr="00CE1D65" w:rsidRDefault="00546E85" w:rsidP="00546E85">
      <w:pPr>
        <w:jc w:val="center"/>
        <w:rPr>
          <w:rFonts w:ascii="Arial Narrow" w:hAnsi="Arial Narrow"/>
          <w:b/>
          <w:color w:val="002060"/>
          <w:sz w:val="32"/>
          <w:szCs w:val="32"/>
        </w:rPr>
      </w:pPr>
    </w:p>
    <w:p w:rsidR="00546E85" w:rsidRPr="00CE1D65" w:rsidRDefault="00546E85" w:rsidP="00546E85">
      <w:pPr>
        <w:jc w:val="center"/>
        <w:rPr>
          <w:rFonts w:ascii="Arial Narrow" w:hAnsi="Arial Narrow"/>
          <w:b/>
          <w:color w:val="002060"/>
          <w:sz w:val="32"/>
          <w:szCs w:val="32"/>
        </w:rPr>
      </w:pPr>
    </w:p>
    <w:p w:rsidR="00546E85" w:rsidRPr="00CE1D65" w:rsidRDefault="00546E85" w:rsidP="00546E85">
      <w:pPr>
        <w:jc w:val="center"/>
        <w:rPr>
          <w:rFonts w:ascii="Arial Narrow" w:hAnsi="Arial Narrow"/>
          <w:b/>
          <w:color w:val="002060"/>
          <w:sz w:val="28"/>
          <w:szCs w:val="28"/>
        </w:rPr>
      </w:pPr>
    </w:p>
    <w:p w:rsidR="00546E85" w:rsidRPr="00CE1D65" w:rsidRDefault="00546E85" w:rsidP="00546E85">
      <w:pPr>
        <w:jc w:val="center"/>
        <w:rPr>
          <w:rFonts w:ascii="Arial Narrow" w:hAnsi="Arial Narrow"/>
          <w:b/>
          <w:color w:val="002060"/>
          <w:sz w:val="28"/>
          <w:szCs w:val="28"/>
        </w:rPr>
      </w:pPr>
    </w:p>
    <w:p w:rsidR="00546E85" w:rsidRPr="00CE1D65" w:rsidRDefault="00546E85" w:rsidP="00546E85">
      <w:pPr>
        <w:jc w:val="center"/>
        <w:rPr>
          <w:rFonts w:ascii="Arial Narrow" w:hAnsi="Arial Narrow"/>
          <w:b/>
          <w:color w:val="002060"/>
          <w:sz w:val="28"/>
          <w:szCs w:val="28"/>
        </w:rPr>
      </w:pPr>
    </w:p>
    <w:p w:rsidR="00546E85" w:rsidRDefault="00546E85" w:rsidP="00546E85"/>
    <w:p w:rsidR="00546E85" w:rsidRDefault="00546E85" w:rsidP="00546E85"/>
    <w:p w:rsidR="00546E85" w:rsidRDefault="00546E85" w:rsidP="00546E85"/>
    <w:p w:rsidR="00546E85" w:rsidRDefault="00546E85" w:rsidP="00546E85"/>
    <w:p w:rsidR="00546E85" w:rsidRDefault="00546E85" w:rsidP="00546E85"/>
    <w:p w:rsidR="00546E85" w:rsidRDefault="00546E85" w:rsidP="00546E85"/>
    <w:p w:rsidR="00546E85" w:rsidRDefault="00546E85" w:rsidP="00546E85"/>
    <w:p w:rsidR="00546E85" w:rsidRDefault="00546E85" w:rsidP="00546E85"/>
    <w:p w:rsidR="00546E85" w:rsidRDefault="00546E85"/>
    <w:tbl>
      <w:tblPr>
        <w:tblpPr w:vertAnchor="text" w:tblpY="1"/>
        <w:tblOverlap w:val="never"/>
        <w:tblW w:w="5000" w:type="pct"/>
        <w:tblCellSpacing w:w="0" w:type="dxa"/>
        <w:shd w:val="clear" w:color="auto" w:fill="FFFFFF"/>
        <w:tblCellMar>
          <w:left w:w="0" w:type="dxa"/>
          <w:right w:w="0" w:type="dxa"/>
        </w:tblCellMar>
        <w:tblLook w:val="04A0" w:firstRow="1" w:lastRow="0" w:firstColumn="1" w:lastColumn="0" w:noHBand="0" w:noVBand="1"/>
      </w:tblPr>
      <w:tblGrid>
        <w:gridCol w:w="10540"/>
      </w:tblGrid>
      <w:tr w:rsidR="00E61DA1">
        <w:trPr>
          <w:tblCellSpacing w:w="0" w:type="dxa"/>
        </w:trPr>
        <w:tc>
          <w:tcPr>
            <w:tcW w:w="0" w:type="auto"/>
            <w:shd w:val="clear" w:color="auto" w:fill="FFFFFF"/>
            <w:tcMar>
              <w:top w:w="0" w:type="dxa"/>
              <w:left w:w="0" w:type="dxa"/>
              <w:bottom w:w="0" w:type="dxa"/>
              <w:right w:w="0" w:type="dxa"/>
            </w:tcMar>
            <w:vAlign w:val="center"/>
          </w:tcPr>
          <w:p w:rsidR="00546E85" w:rsidRDefault="00546E85"/>
          <w:tbl>
            <w:tblPr>
              <w:tblpPr w:vertAnchor="text" w:tblpY="1"/>
              <w:tblOverlap w:val="never"/>
              <w:tblW w:w="5000" w:type="pct"/>
              <w:tblCellSpacing w:w="15" w:type="dxa"/>
              <w:shd w:val="clear" w:color="auto" w:fill="FFFFFF"/>
              <w:tblCellMar>
                <w:top w:w="150" w:type="dxa"/>
                <w:left w:w="150" w:type="dxa"/>
                <w:bottom w:w="150" w:type="dxa"/>
                <w:right w:w="150" w:type="dxa"/>
              </w:tblCellMar>
              <w:tblLook w:val="04A0" w:firstRow="1" w:lastRow="0" w:firstColumn="1" w:lastColumn="0" w:noHBand="0" w:noVBand="1"/>
            </w:tblPr>
            <w:tblGrid>
              <w:gridCol w:w="10540"/>
            </w:tblGrid>
            <w:tr w:rsidR="00E61DA1" w:rsidTr="00546E85">
              <w:trPr>
                <w:tblCellSpacing w:w="15" w:type="dxa"/>
              </w:trPr>
              <w:tc>
                <w:tcPr>
                  <w:tcW w:w="10480" w:type="dxa"/>
                  <w:shd w:val="clear" w:color="auto" w:fill="FFFFFF"/>
                  <w:tcMar>
                    <w:top w:w="150" w:type="dxa"/>
                    <w:left w:w="0" w:type="dxa"/>
                    <w:bottom w:w="150" w:type="dxa"/>
                    <w:right w:w="150" w:type="dxa"/>
                  </w:tcMar>
                  <w:vAlign w:val="center"/>
                </w:tcPr>
                <w:p w:rsidR="00E61DA1" w:rsidRDefault="0028750A" w:rsidP="00546E85">
                  <w:hyperlink r:id="rId8" w:tgtFrame="_blank" w:history="1">
                    <w:r w:rsidR="00387001">
                      <w:rPr>
                        <w:noProof/>
                        <w:color w:val="0000EE"/>
                        <w:u w:color="0000EE"/>
                      </w:rPr>
                      <w:drawing>
                        <wp:inline distT="0" distB="0" distL="0" distR="0">
                          <wp:extent cx="1128712" cy="571500"/>
                          <wp:effectExtent l="0" t="0" r="0" b="0"/>
                          <wp:docPr id="100001" name="Obrázok 100001" descr="Nextina"/>
                          <wp:cNvGraphicFramePr/>
                          <a:graphic xmlns:a="http://schemas.openxmlformats.org/drawingml/2006/main">
                            <a:graphicData uri="http://schemas.openxmlformats.org/drawingml/2006/picture">
                              <pic:pic xmlns:pic="http://schemas.openxmlformats.org/drawingml/2006/picture">
                                <pic:nvPicPr>
                                  <pic:cNvPr id="588311875" name=""/>
                                  <pic:cNvPicPr/>
                                </pic:nvPicPr>
                                <pic:blipFill>
                                  <a:blip r:embed="rId9"/>
                                  <a:stretch>
                                    <a:fillRect/>
                                  </a:stretch>
                                </pic:blipFill>
                                <pic:spPr>
                                  <a:xfrm>
                                    <a:off x="0" y="0"/>
                                    <a:ext cx="1128712" cy="571500"/>
                                  </a:xfrm>
                                  <a:prstGeom prst="rect">
                                    <a:avLst/>
                                  </a:prstGeom>
                                </pic:spPr>
                              </pic:pic>
                            </a:graphicData>
                          </a:graphic>
                        </wp:inline>
                      </w:drawing>
                    </w:r>
                    <w:r w:rsidR="00387001">
                      <w:rPr>
                        <w:color w:val="0000EE"/>
                        <w:u w:val="single" w:color="0000EE"/>
                      </w:rPr>
                      <w:t xml:space="preserve"> </w:t>
                    </w:r>
                  </w:hyperlink>
                </w:p>
              </w:tc>
            </w:tr>
          </w:tbl>
          <w:p w:rsidR="00E61DA1" w:rsidRDefault="00E61DA1"/>
        </w:tc>
      </w:tr>
    </w:tbl>
    <w:p w:rsidR="00E61DA1" w:rsidRDefault="00E61DA1">
      <w:pPr>
        <w:rPr>
          <w:vanish/>
        </w:rPr>
      </w:pPr>
    </w:p>
    <w:tbl>
      <w:tblPr>
        <w:tblpPr w:vertAnchor="text" w:tblpY="1"/>
        <w:tblOverlap w:val="never"/>
        <w:tblW w:w="5000" w:type="pct"/>
        <w:tblCellSpacing w:w="0" w:type="dxa"/>
        <w:shd w:val="clear" w:color="auto" w:fill="7859B1"/>
        <w:tblCellMar>
          <w:left w:w="0" w:type="dxa"/>
          <w:right w:w="0" w:type="dxa"/>
        </w:tblCellMar>
        <w:tblLook w:val="04A0" w:firstRow="1" w:lastRow="0" w:firstColumn="1" w:lastColumn="0" w:noHBand="0" w:noVBand="1"/>
      </w:tblPr>
      <w:tblGrid>
        <w:gridCol w:w="10540"/>
      </w:tblGrid>
      <w:tr w:rsidR="00E61DA1">
        <w:trPr>
          <w:tblCellSpacing w:w="0" w:type="dxa"/>
        </w:trPr>
        <w:tc>
          <w:tcPr>
            <w:tcW w:w="0" w:type="auto"/>
            <w:shd w:val="clear" w:color="auto" w:fill="7859B1"/>
            <w:tcMar>
              <w:top w:w="0" w:type="dxa"/>
              <w:left w:w="0" w:type="dxa"/>
              <w:bottom w:w="0" w:type="dxa"/>
              <w:right w:w="0" w:type="dxa"/>
            </w:tcMar>
            <w:vAlign w:val="center"/>
          </w:tcPr>
          <w:tbl>
            <w:tblPr>
              <w:tblpPr w:vertAnchor="text" w:tblpY="1"/>
              <w:tblOverlap w:val="never"/>
              <w:tblW w:w="0" w:type="auto"/>
              <w:tblCellSpacing w:w="15" w:type="dxa"/>
              <w:tblCellMar>
                <w:top w:w="150" w:type="dxa"/>
                <w:left w:w="150" w:type="dxa"/>
                <w:bottom w:w="150" w:type="dxa"/>
                <w:right w:w="150" w:type="dxa"/>
              </w:tblCellMar>
              <w:tblLook w:val="04A0" w:firstRow="1" w:lastRow="0" w:firstColumn="1" w:lastColumn="0" w:noHBand="0" w:noVBand="1"/>
            </w:tblPr>
            <w:tblGrid>
              <w:gridCol w:w="5237"/>
              <w:gridCol w:w="5303"/>
            </w:tblGrid>
            <w:tr w:rsidR="00E61DA1">
              <w:trPr>
                <w:tblCellSpacing w:w="15" w:type="dxa"/>
              </w:trPr>
              <w:tc>
                <w:tcPr>
                  <w:tcW w:w="6000" w:type="dxa"/>
                  <w:tcMar>
                    <w:top w:w="0" w:type="dxa"/>
                    <w:left w:w="0" w:type="dxa"/>
                    <w:bottom w:w="0" w:type="dxa"/>
                    <w:right w:w="0" w:type="dxa"/>
                  </w:tcMar>
                  <w:vAlign w:val="center"/>
                </w:tcPr>
                <w:p w:rsidR="00E61DA1" w:rsidRDefault="0028750A">
                  <w:hyperlink r:id="rId10" w:tgtFrame="_blank" w:history="1">
                    <w:proofErr w:type="spellStart"/>
                    <w:r w:rsidR="00387001">
                      <w:rPr>
                        <w:color w:val="FFFFFF"/>
                        <w:sz w:val="26"/>
                        <w:szCs w:val="26"/>
                      </w:rPr>
                      <w:t>Nextina</w:t>
                    </w:r>
                    <w:bookmarkStart w:id="0" w:name="TableOfContent"/>
                    <w:proofErr w:type="spellEnd"/>
                  </w:hyperlink>
                  <w:bookmarkEnd w:id="0"/>
                </w:p>
              </w:tc>
              <w:tc>
                <w:tcPr>
                  <w:tcW w:w="6000" w:type="dxa"/>
                  <w:tcMar>
                    <w:top w:w="0" w:type="dxa"/>
                    <w:left w:w="0" w:type="dxa"/>
                    <w:bottom w:w="0" w:type="dxa"/>
                    <w:right w:w="0" w:type="dxa"/>
                  </w:tcMar>
                  <w:vAlign w:val="center"/>
                </w:tcPr>
                <w:p w:rsidR="00E61DA1" w:rsidRDefault="00387001">
                  <w:pPr>
                    <w:jc w:val="right"/>
                  </w:pPr>
                  <w:r>
                    <w:rPr>
                      <w:color w:val="FFFFFF"/>
                      <w:sz w:val="26"/>
                      <w:szCs w:val="26"/>
                    </w:rPr>
                    <w:t>Počet správ: 12, Dátum: 26.07.2019</w:t>
                  </w:r>
                </w:p>
              </w:tc>
            </w:tr>
          </w:tbl>
          <w:p w:rsidR="00E61DA1" w:rsidRDefault="00E61DA1"/>
        </w:tc>
      </w:tr>
    </w:tbl>
    <w:p w:rsidR="00E61DA1" w:rsidRDefault="00387001">
      <w:r>
        <w:br/>
      </w:r>
    </w:p>
    <w:tbl>
      <w:tblPr>
        <w:tblW w:w="0" w:type="auto"/>
        <w:tblCellSpacing w:w="15" w:type="dxa"/>
        <w:tblInd w:w="30" w:type="dxa"/>
        <w:tblCellMar>
          <w:top w:w="15" w:type="dxa"/>
          <w:left w:w="15" w:type="dxa"/>
          <w:bottom w:w="15" w:type="dxa"/>
          <w:right w:w="15" w:type="dxa"/>
        </w:tblCellMar>
        <w:tblLook w:val="04A0" w:firstRow="1" w:lastRow="0" w:firstColumn="1" w:lastColumn="0" w:noHBand="0" w:noVBand="1"/>
      </w:tblPr>
      <w:tblGrid>
        <w:gridCol w:w="1020"/>
        <w:gridCol w:w="1936"/>
        <w:gridCol w:w="7538"/>
      </w:tblGrid>
      <w:tr w:rsidR="00546E85" w:rsidTr="003C4072">
        <w:trPr>
          <w:cantSplit/>
          <w:trHeight w:val="270"/>
          <w:tblCellSpacing w:w="15" w:type="dxa"/>
        </w:trPr>
        <w:tc>
          <w:tcPr>
            <w:tcW w:w="0" w:type="auto"/>
            <w:tcBorders>
              <w:top w:val="single" w:sz="6" w:space="0" w:color="EFEFEF"/>
              <w:left w:val="single" w:sz="6" w:space="0" w:color="EFEFEF"/>
              <w:bottom w:val="single" w:sz="6" w:space="0" w:color="EFEFEF"/>
              <w:right w:val="single" w:sz="6" w:space="0" w:color="EFEFEF"/>
            </w:tcBorders>
            <w:tcMar>
              <w:top w:w="22" w:type="dxa"/>
              <w:left w:w="22" w:type="dxa"/>
              <w:bottom w:w="22" w:type="dxa"/>
              <w:right w:w="22" w:type="dxa"/>
            </w:tcMar>
            <w:vAlign w:val="center"/>
          </w:tcPr>
          <w:p w:rsidR="00546E85" w:rsidRDefault="00546E85">
            <w:pPr>
              <w:rPr>
                <w:color w:val="778289"/>
              </w:rPr>
            </w:pPr>
            <w:r>
              <w:rPr>
                <w:color w:val="778289"/>
              </w:rPr>
              <w:t>23.07.2019</w:t>
            </w:r>
          </w:p>
        </w:tc>
        <w:tc>
          <w:tcPr>
            <w:tcW w:w="0" w:type="auto"/>
            <w:tcBorders>
              <w:top w:val="single" w:sz="6" w:space="0" w:color="EFEFEF"/>
              <w:left w:val="single" w:sz="6" w:space="0" w:color="EFEFEF"/>
              <w:bottom w:val="single" w:sz="6" w:space="0" w:color="EFEFEF"/>
              <w:right w:val="single" w:sz="6" w:space="0" w:color="EFEFEF"/>
            </w:tcBorders>
            <w:tcMar>
              <w:top w:w="22" w:type="dxa"/>
              <w:left w:w="22" w:type="dxa"/>
              <w:bottom w:w="22" w:type="dxa"/>
              <w:right w:w="22" w:type="dxa"/>
            </w:tcMar>
            <w:vAlign w:val="center"/>
          </w:tcPr>
          <w:p w:rsidR="00546E85" w:rsidRDefault="00546E85">
            <w:pPr>
              <w:rPr>
                <w:color w:val="778289"/>
              </w:rPr>
            </w:pPr>
            <w:r>
              <w:rPr>
                <w:color w:val="778289"/>
              </w:rPr>
              <w:t xml:space="preserve">hnonline.sk </w:t>
            </w:r>
          </w:p>
        </w:tc>
        <w:tc>
          <w:tcPr>
            <w:tcW w:w="7493" w:type="dxa"/>
            <w:tcBorders>
              <w:top w:val="single" w:sz="6" w:space="0" w:color="EFEFEF"/>
              <w:left w:val="single" w:sz="6" w:space="0" w:color="EFEFEF"/>
              <w:bottom w:val="single" w:sz="6" w:space="0" w:color="EFEFEF"/>
              <w:right w:val="single" w:sz="6" w:space="0" w:color="EFEFEF"/>
            </w:tcBorders>
            <w:tcMar>
              <w:top w:w="22" w:type="dxa"/>
              <w:left w:w="22" w:type="dxa"/>
              <w:bottom w:w="22" w:type="dxa"/>
              <w:right w:w="22" w:type="dxa"/>
            </w:tcMar>
            <w:vAlign w:val="center"/>
          </w:tcPr>
          <w:p w:rsidR="00546E85" w:rsidRDefault="0028750A">
            <w:pPr>
              <w:rPr>
                <w:color w:val="778289"/>
              </w:rPr>
            </w:pPr>
            <w:hyperlink w:anchor="Article__xi16__OPSK19CW0016" w:history="1">
              <w:r w:rsidR="00546E85">
                <w:rPr>
                  <w:b/>
                  <w:bCs/>
                  <w:color w:val="303030"/>
                  <w:u w:val="single" w:color="303030"/>
                </w:rPr>
                <w:t>Žiadosť o Zelenú naftu podávajte len elektronicky</w:t>
              </w:r>
              <w:bookmarkStart w:id="1" w:name="TableOfContent__xi16__OPSK19CW0016"/>
            </w:hyperlink>
            <w:bookmarkEnd w:id="1"/>
          </w:p>
        </w:tc>
      </w:tr>
      <w:tr w:rsidR="00546E85" w:rsidTr="003C4072">
        <w:trPr>
          <w:cantSplit/>
          <w:trHeight w:val="270"/>
          <w:tblCellSpacing w:w="15" w:type="dxa"/>
        </w:trPr>
        <w:tc>
          <w:tcPr>
            <w:tcW w:w="0" w:type="auto"/>
            <w:tcBorders>
              <w:top w:val="single" w:sz="6" w:space="0" w:color="EFEFEF"/>
              <w:left w:val="single" w:sz="6" w:space="0" w:color="EFEFEF"/>
              <w:bottom w:val="single" w:sz="6" w:space="0" w:color="EFEFEF"/>
              <w:right w:val="single" w:sz="6" w:space="0" w:color="EFEFEF"/>
            </w:tcBorders>
            <w:tcMar>
              <w:top w:w="22" w:type="dxa"/>
              <w:left w:w="22" w:type="dxa"/>
              <w:bottom w:w="22" w:type="dxa"/>
              <w:right w:w="22" w:type="dxa"/>
            </w:tcMar>
            <w:vAlign w:val="center"/>
          </w:tcPr>
          <w:p w:rsidR="00546E85" w:rsidRDefault="00546E85">
            <w:pPr>
              <w:rPr>
                <w:color w:val="778289"/>
              </w:rPr>
            </w:pPr>
            <w:r>
              <w:rPr>
                <w:color w:val="778289"/>
              </w:rPr>
              <w:t>23.07.2019</w:t>
            </w:r>
          </w:p>
        </w:tc>
        <w:tc>
          <w:tcPr>
            <w:tcW w:w="0" w:type="auto"/>
            <w:tcBorders>
              <w:top w:val="single" w:sz="6" w:space="0" w:color="EFEFEF"/>
              <w:left w:val="single" w:sz="6" w:space="0" w:color="EFEFEF"/>
              <w:bottom w:val="single" w:sz="6" w:space="0" w:color="EFEFEF"/>
              <w:right w:val="single" w:sz="6" w:space="0" w:color="EFEFEF"/>
            </w:tcBorders>
            <w:tcMar>
              <w:top w:w="22" w:type="dxa"/>
              <w:left w:w="22" w:type="dxa"/>
              <w:bottom w:w="22" w:type="dxa"/>
              <w:right w:w="22" w:type="dxa"/>
            </w:tcMar>
            <w:vAlign w:val="center"/>
          </w:tcPr>
          <w:p w:rsidR="00546E85" w:rsidRDefault="00546E85">
            <w:pPr>
              <w:rPr>
                <w:color w:val="778289"/>
              </w:rPr>
            </w:pPr>
            <w:r>
              <w:rPr>
                <w:color w:val="778289"/>
              </w:rPr>
              <w:t xml:space="preserve">Hospodárske noviny </w:t>
            </w:r>
          </w:p>
        </w:tc>
        <w:tc>
          <w:tcPr>
            <w:tcW w:w="7493" w:type="dxa"/>
            <w:tcBorders>
              <w:top w:val="single" w:sz="6" w:space="0" w:color="EFEFEF"/>
              <w:left w:val="single" w:sz="6" w:space="0" w:color="EFEFEF"/>
              <w:bottom w:val="single" w:sz="6" w:space="0" w:color="EFEFEF"/>
              <w:right w:val="single" w:sz="6" w:space="0" w:color="EFEFEF"/>
            </w:tcBorders>
            <w:tcMar>
              <w:top w:w="22" w:type="dxa"/>
              <w:left w:w="22" w:type="dxa"/>
              <w:bottom w:w="22" w:type="dxa"/>
              <w:right w:w="22" w:type="dxa"/>
            </w:tcMar>
            <w:vAlign w:val="center"/>
          </w:tcPr>
          <w:p w:rsidR="00546E85" w:rsidRDefault="0028750A">
            <w:pPr>
              <w:rPr>
                <w:color w:val="778289"/>
              </w:rPr>
            </w:pPr>
            <w:hyperlink w:anchor="Article__xi16__2019J140A12C" w:history="1">
              <w:r w:rsidR="00546E85">
                <w:rPr>
                  <w:b/>
                  <w:bCs/>
                  <w:color w:val="303030"/>
                  <w:u w:val="single" w:color="303030"/>
                </w:rPr>
                <w:t>Pekárne si začínajú vychovávať žiakov</w:t>
              </w:r>
              <w:bookmarkStart w:id="2" w:name="TableOfContent__xi16__2019J140A12C"/>
            </w:hyperlink>
            <w:bookmarkEnd w:id="2"/>
          </w:p>
        </w:tc>
      </w:tr>
      <w:tr w:rsidR="00546E85" w:rsidTr="003C4072">
        <w:trPr>
          <w:cantSplit/>
          <w:trHeight w:val="270"/>
          <w:tblCellSpacing w:w="15" w:type="dxa"/>
        </w:trPr>
        <w:tc>
          <w:tcPr>
            <w:tcW w:w="0" w:type="auto"/>
            <w:tcBorders>
              <w:top w:val="single" w:sz="6" w:space="0" w:color="EFEFEF"/>
              <w:left w:val="single" w:sz="6" w:space="0" w:color="EFEFEF"/>
              <w:bottom w:val="single" w:sz="6" w:space="0" w:color="EFEFEF"/>
              <w:right w:val="single" w:sz="6" w:space="0" w:color="EFEFEF"/>
            </w:tcBorders>
            <w:tcMar>
              <w:top w:w="22" w:type="dxa"/>
              <w:left w:w="22" w:type="dxa"/>
              <w:bottom w:w="22" w:type="dxa"/>
              <w:right w:w="22" w:type="dxa"/>
            </w:tcMar>
            <w:vAlign w:val="center"/>
          </w:tcPr>
          <w:p w:rsidR="00546E85" w:rsidRDefault="00546E85">
            <w:pPr>
              <w:rPr>
                <w:color w:val="778289"/>
              </w:rPr>
            </w:pPr>
            <w:r>
              <w:rPr>
                <w:color w:val="778289"/>
              </w:rPr>
              <w:t>01.07.2019</w:t>
            </w:r>
          </w:p>
        </w:tc>
        <w:tc>
          <w:tcPr>
            <w:tcW w:w="0" w:type="auto"/>
            <w:tcBorders>
              <w:top w:val="single" w:sz="6" w:space="0" w:color="EFEFEF"/>
              <w:left w:val="single" w:sz="6" w:space="0" w:color="EFEFEF"/>
              <w:bottom w:val="single" w:sz="6" w:space="0" w:color="EFEFEF"/>
              <w:right w:val="single" w:sz="6" w:space="0" w:color="EFEFEF"/>
            </w:tcBorders>
            <w:tcMar>
              <w:top w:w="22" w:type="dxa"/>
              <w:left w:w="22" w:type="dxa"/>
              <w:bottom w:w="22" w:type="dxa"/>
              <w:right w:w="22" w:type="dxa"/>
            </w:tcMar>
            <w:vAlign w:val="center"/>
          </w:tcPr>
          <w:p w:rsidR="00546E85" w:rsidRDefault="00546E85">
            <w:pPr>
              <w:rPr>
                <w:color w:val="778289"/>
              </w:rPr>
            </w:pPr>
            <w:r>
              <w:rPr>
                <w:color w:val="778289"/>
              </w:rPr>
              <w:t xml:space="preserve">rno.sk </w:t>
            </w:r>
          </w:p>
        </w:tc>
        <w:tc>
          <w:tcPr>
            <w:tcW w:w="7493" w:type="dxa"/>
            <w:tcBorders>
              <w:top w:val="single" w:sz="6" w:space="0" w:color="EFEFEF"/>
              <w:left w:val="single" w:sz="6" w:space="0" w:color="EFEFEF"/>
              <w:bottom w:val="single" w:sz="6" w:space="0" w:color="EFEFEF"/>
              <w:right w:val="single" w:sz="6" w:space="0" w:color="EFEFEF"/>
            </w:tcBorders>
            <w:tcMar>
              <w:top w:w="22" w:type="dxa"/>
              <w:left w:w="22" w:type="dxa"/>
              <w:bottom w:w="22" w:type="dxa"/>
              <w:right w:w="22" w:type="dxa"/>
            </w:tcMar>
            <w:vAlign w:val="center"/>
          </w:tcPr>
          <w:p w:rsidR="00546E85" w:rsidRDefault="0028750A">
            <w:pPr>
              <w:rPr>
                <w:color w:val="778289"/>
              </w:rPr>
            </w:pPr>
            <w:hyperlink w:anchor="Article__xi16__OPSK19CA1115" w:history="1">
              <w:r w:rsidR="00546E85">
                <w:rPr>
                  <w:b/>
                  <w:bCs/>
                  <w:color w:val="303030"/>
                  <w:u w:val="single" w:color="303030"/>
                </w:rPr>
                <w:t>V systéme duálneho vzdelávania je certifikovaných 14 pekární</w:t>
              </w:r>
              <w:bookmarkStart w:id="3" w:name="TableOfContent__xi16__OPSK19CA1115"/>
            </w:hyperlink>
            <w:bookmarkEnd w:id="3"/>
          </w:p>
        </w:tc>
      </w:tr>
      <w:tr w:rsidR="00546E85" w:rsidTr="003C4072">
        <w:trPr>
          <w:cantSplit/>
          <w:trHeight w:val="270"/>
          <w:tblCellSpacing w:w="15" w:type="dxa"/>
        </w:trPr>
        <w:tc>
          <w:tcPr>
            <w:tcW w:w="0" w:type="auto"/>
            <w:tcBorders>
              <w:top w:val="single" w:sz="6" w:space="0" w:color="EFEFEF"/>
              <w:left w:val="single" w:sz="6" w:space="0" w:color="EFEFEF"/>
              <w:bottom w:val="single" w:sz="6" w:space="0" w:color="EFEFEF"/>
              <w:right w:val="single" w:sz="6" w:space="0" w:color="EFEFEF"/>
            </w:tcBorders>
            <w:tcMar>
              <w:top w:w="22" w:type="dxa"/>
              <w:left w:w="22" w:type="dxa"/>
              <w:bottom w:w="22" w:type="dxa"/>
              <w:right w:w="22" w:type="dxa"/>
            </w:tcMar>
            <w:vAlign w:val="center"/>
          </w:tcPr>
          <w:p w:rsidR="00546E85" w:rsidRDefault="00546E85">
            <w:pPr>
              <w:rPr>
                <w:color w:val="778289"/>
              </w:rPr>
            </w:pPr>
            <w:r>
              <w:rPr>
                <w:color w:val="778289"/>
              </w:rPr>
              <w:t>29.06.2019</w:t>
            </w:r>
          </w:p>
        </w:tc>
        <w:tc>
          <w:tcPr>
            <w:tcW w:w="0" w:type="auto"/>
            <w:tcBorders>
              <w:top w:val="single" w:sz="6" w:space="0" w:color="EFEFEF"/>
              <w:left w:val="single" w:sz="6" w:space="0" w:color="EFEFEF"/>
              <w:bottom w:val="single" w:sz="6" w:space="0" w:color="EFEFEF"/>
              <w:right w:val="single" w:sz="6" w:space="0" w:color="EFEFEF"/>
            </w:tcBorders>
            <w:tcMar>
              <w:top w:w="22" w:type="dxa"/>
              <w:left w:w="22" w:type="dxa"/>
              <w:bottom w:w="22" w:type="dxa"/>
              <w:right w:w="22" w:type="dxa"/>
            </w:tcMar>
            <w:vAlign w:val="center"/>
          </w:tcPr>
          <w:p w:rsidR="00546E85" w:rsidRDefault="00546E85">
            <w:pPr>
              <w:rPr>
                <w:color w:val="778289"/>
              </w:rPr>
            </w:pPr>
            <w:r>
              <w:rPr>
                <w:color w:val="778289"/>
              </w:rPr>
              <w:t xml:space="preserve">dobrenoviny.sk </w:t>
            </w:r>
          </w:p>
        </w:tc>
        <w:tc>
          <w:tcPr>
            <w:tcW w:w="7493" w:type="dxa"/>
            <w:tcBorders>
              <w:top w:val="single" w:sz="6" w:space="0" w:color="EFEFEF"/>
              <w:left w:val="single" w:sz="6" w:space="0" w:color="EFEFEF"/>
              <w:bottom w:val="single" w:sz="6" w:space="0" w:color="EFEFEF"/>
              <w:right w:val="single" w:sz="6" w:space="0" w:color="EFEFEF"/>
            </w:tcBorders>
            <w:tcMar>
              <w:top w:w="22" w:type="dxa"/>
              <w:left w:w="22" w:type="dxa"/>
              <w:bottom w:w="22" w:type="dxa"/>
              <w:right w:w="22" w:type="dxa"/>
            </w:tcMar>
            <w:vAlign w:val="center"/>
          </w:tcPr>
          <w:p w:rsidR="00546E85" w:rsidRDefault="0028750A">
            <w:pPr>
              <w:rPr>
                <w:color w:val="778289"/>
              </w:rPr>
            </w:pPr>
            <w:hyperlink w:anchor="Article__xi16__OPSK19C80934" w:history="1">
              <w:r w:rsidR="00546E85">
                <w:rPr>
                  <w:b/>
                  <w:bCs/>
                  <w:color w:val="303030"/>
                  <w:u w:val="single" w:color="303030"/>
                </w:rPr>
                <w:t>V systéme duálneho vzdelávania je certifikovaných 14 pekární</w:t>
              </w:r>
              <w:bookmarkStart w:id="4" w:name="TableOfContent__xi16__OPSK19C80934"/>
            </w:hyperlink>
            <w:bookmarkEnd w:id="4"/>
          </w:p>
        </w:tc>
      </w:tr>
      <w:tr w:rsidR="00546E85" w:rsidTr="003C4072">
        <w:trPr>
          <w:cantSplit/>
          <w:trHeight w:val="270"/>
          <w:tblCellSpacing w:w="15" w:type="dxa"/>
        </w:trPr>
        <w:tc>
          <w:tcPr>
            <w:tcW w:w="0" w:type="auto"/>
            <w:tcBorders>
              <w:top w:val="single" w:sz="6" w:space="0" w:color="EFEFEF"/>
              <w:left w:val="single" w:sz="6" w:space="0" w:color="EFEFEF"/>
              <w:bottom w:val="single" w:sz="6" w:space="0" w:color="EFEFEF"/>
              <w:right w:val="single" w:sz="6" w:space="0" w:color="EFEFEF"/>
            </w:tcBorders>
            <w:tcMar>
              <w:top w:w="22" w:type="dxa"/>
              <w:left w:w="22" w:type="dxa"/>
              <w:bottom w:w="22" w:type="dxa"/>
              <w:right w:w="22" w:type="dxa"/>
            </w:tcMar>
            <w:vAlign w:val="center"/>
          </w:tcPr>
          <w:p w:rsidR="00546E85" w:rsidRDefault="00546E85">
            <w:pPr>
              <w:rPr>
                <w:color w:val="778289"/>
              </w:rPr>
            </w:pPr>
            <w:r>
              <w:rPr>
                <w:color w:val="778289"/>
              </w:rPr>
              <w:t>28.06.2019</w:t>
            </w:r>
          </w:p>
        </w:tc>
        <w:tc>
          <w:tcPr>
            <w:tcW w:w="0" w:type="auto"/>
            <w:tcBorders>
              <w:top w:val="single" w:sz="6" w:space="0" w:color="EFEFEF"/>
              <w:left w:val="single" w:sz="6" w:space="0" w:color="EFEFEF"/>
              <w:bottom w:val="single" w:sz="6" w:space="0" w:color="EFEFEF"/>
              <w:right w:val="single" w:sz="6" w:space="0" w:color="EFEFEF"/>
            </w:tcBorders>
            <w:tcMar>
              <w:top w:w="22" w:type="dxa"/>
              <w:left w:w="22" w:type="dxa"/>
              <w:bottom w:w="22" w:type="dxa"/>
              <w:right w:w="22" w:type="dxa"/>
            </w:tcMar>
            <w:vAlign w:val="center"/>
          </w:tcPr>
          <w:p w:rsidR="00546E85" w:rsidRDefault="00546E85">
            <w:pPr>
              <w:rPr>
                <w:color w:val="778289"/>
              </w:rPr>
            </w:pPr>
            <w:r>
              <w:rPr>
                <w:color w:val="778289"/>
              </w:rPr>
              <w:t xml:space="preserve">openiazoch.zoznam.sk </w:t>
            </w:r>
          </w:p>
        </w:tc>
        <w:tc>
          <w:tcPr>
            <w:tcW w:w="7493" w:type="dxa"/>
            <w:tcBorders>
              <w:top w:val="single" w:sz="6" w:space="0" w:color="EFEFEF"/>
              <w:left w:val="single" w:sz="6" w:space="0" w:color="EFEFEF"/>
              <w:bottom w:val="single" w:sz="6" w:space="0" w:color="EFEFEF"/>
              <w:right w:val="single" w:sz="6" w:space="0" w:color="EFEFEF"/>
            </w:tcBorders>
            <w:tcMar>
              <w:top w:w="22" w:type="dxa"/>
              <w:left w:w="22" w:type="dxa"/>
              <w:bottom w:w="22" w:type="dxa"/>
              <w:right w:w="22" w:type="dxa"/>
            </w:tcMar>
            <w:vAlign w:val="center"/>
          </w:tcPr>
          <w:p w:rsidR="00546E85" w:rsidRDefault="0028750A">
            <w:pPr>
              <w:rPr>
                <w:color w:val="778289"/>
              </w:rPr>
            </w:pPr>
            <w:hyperlink w:anchor="Article__xi16__OPSK19C73774" w:history="1">
              <w:r w:rsidR="00546E85">
                <w:rPr>
                  <w:b/>
                  <w:bCs/>
                  <w:color w:val="303030"/>
                  <w:u w:val="single" w:color="303030"/>
                </w:rPr>
                <w:t>V systéme duálneho vzdelávania je certifikovaných 14 pekární</w:t>
              </w:r>
              <w:bookmarkStart w:id="5" w:name="TableOfContent__xi16__OPSK19C73774"/>
            </w:hyperlink>
            <w:bookmarkEnd w:id="5"/>
          </w:p>
        </w:tc>
      </w:tr>
      <w:tr w:rsidR="00546E85" w:rsidTr="003C4072">
        <w:trPr>
          <w:cantSplit/>
          <w:trHeight w:val="270"/>
          <w:tblCellSpacing w:w="15" w:type="dxa"/>
        </w:trPr>
        <w:tc>
          <w:tcPr>
            <w:tcW w:w="0" w:type="auto"/>
            <w:tcBorders>
              <w:top w:val="single" w:sz="6" w:space="0" w:color="EFEFEF"/>
              <w:left w:val="single" w:sz="6" w:space="0" w:color="EFEFEF"/>
              <w:bottom w:val="single" w:sz="6" w:space="0" w:color="EFEFEF"/>
              <w:right w:val="single" w:sz="6" w:space="0" w:color="EFEFEF"/>
            </w:tcBorders>
            <w:tcMar>
              <w:top w:w="22" w:type="dxa"/>
              <w:left w:w="22" w:type="dxa"/>
              <w:bottom w:w="22" w:type="dxa"/>
              <w:right w:w="22" w:type="dxa"/>
            </w:tcMar>
            <w:vAlign w:val="center"/>
          </w:tcPr>
          <w:p w:rsidR="00546E85" w:rsidRDefault="00546E85">
            <w:pPr>
              <w:rPr>
                <w:color w:val="778289"/>
              </w:rPr>
            </w:pPr>
            <w:r>
              <w:rPr>
                <w:color w:val="778289"/>
              </w:rPr>
              <w:t>28.06.2019</w:t>
            </w:r>
          </w:p>
        </w:tc>
        <w:tc>
          <w:tcPr>
            <w:tcW w:w="0" w:type="auto"/>
            <w:tcBorders>
              <w:top w:val="single" w:sz="6" w:space="0" w:color="EFEFEF"/>
              <w:left w:val="single" w:sz="6" w:space="0" w:color="EFEFEF"/>
              <w:bottom w:val="single" w:sz="6" w:space="0" w:color="EFEFEF"/>
              <w:right w:val="single" w:sz="6" w:space="0" w:color="EFEFEF"/>
            </w:tcBorders>
            <w:tcMar>
              <w:top w:w="22" w:type="dxa"/>
              <w:left w:w="22" w:type="dxa"/>
              <w:bottom w:w="22" w:type="dxa"/>
              <w:right w:w="22" w:type="dxa"/>
            </w:tcMar>
            <w:vAlign w:val="center"/>
          </w:tcPr>
          <w:p w:rsidR="00546E85" w:rsidRDefault="00546E85">
            <w:pPr>
              <w:rPr>
                <w:color w:val="778289"/>
              </w:rPr>
            </w:pPr>
            <w:r>
              <w:rPr>
                <w:color w:val="778289"/>
              </w:rPr>
              <w:t xml:space="preserve">24hod.sk </w:t>
            </w:r>
          </w:p>
        </w:tc>
        <w:tc>
          <w:tcPr>
            <w:tcW w:w="7493" w:type="dxa"/>
            <w:tcBorders>
              <w:top w:val="single" w:sz="6" w:space="0" w:color="EFEFEF"/>
              <w:left w:val="single" w:sz="6" w:space="0" w:color="EFEFEF"/>
              <w:bottom w:val="single" w:sz="6" w:space="0" w:color="EFEFEF"/>
              <w:right w:val="single" w:sz="6" w:space="0" w:color="EFEFEF"/>
            </w:tcBorders>
            <w:tcMar>
              <w:top w:w="22" w:type="dxa"/>
              <w:left w:w="22" w:type="dxa"/>
              <w:bottom w:w="22" w:type="dxa"/>
              <w:right w:w="22" w:type="dxa"/>
            </w:tcMar>
            <w:vAlign w:val="center"/>
          </w:tcPr>
          <w:p w:rsidR="00546E85" w:rsidRDefault="0028750A">
            <w:pPr>
              <w:rPr>
                <w:color w:val="778289"/>
              </w:rPr>
            </w:pPr>
            <w:hyperlink w:anchor="Article__xi16__OPSK19C74015" w:history="1">
              <w:r w:rsidR="00546E85">
                <w:rPr>
                  <w:b/>
                  <w:bCs/>
                  <w:color w:val="303030"/>
                  <w:u w:val="single" w:color="303030"/>
                </w:rPr>
                <w:t>V systéme duálneho vzdelávania je certifikovaných 14 pekární</w:t>
              </w:r>
              <w:bookmarkStart w:id="6" w:name="TableOfContent__xi16__OPSK19C74015"/>
            </w:hyperlink>
            <w:bookmarkEnd w:id="6"/>
          </w:p>
        </w:tc>
      </w:tr>
      <w:tr w:rsidR="00546E85" w:rsidTr="003C4072">
        <w:trPr>
          <w:cantSplit/>
          <w:trHeight w:val="270"/>
          <w:tblCellSpacing w:w="15" w:type="dxa"/>
        </w:trPr>
        <w:tc>
          <w:tcPr>
            <w:tcW w:w="0" w:type="auto"/>
            <w:tcBorders>
              <w:top w:val="single" w:sz="6" w:space="0" w:color="EFEFEF"/>
              <w:left w:val="single" w:sz="6" w:space="0" w:color="EFEFEF"/>
              <w:bottom w:val="single" w:sz="6" w:space="0" w:color="EFEFEF"/>
              <w:right w:val="single" w:sz="6" w:space="0" w:color="EFEFEF"/>
            </w:tcBorders>
            <w:tcMar>
              <w:top w:w="22" w:type="dxa"/>
              <w:left w:w="22" w:type="dxa"/>
              <w:bottom w:w="22" w:type="dxa"/>
              <w:right w:w="22" w:type="dxa"/>
            </w:tcMar>
            <w:vAlign w:val="center"/>
          </w:tcPr>
          <w:p w:rsidR="00546E85" w:rsidRDefault="00546E85">
            <w:pPr>
              <w:rPr>
                <w:color w:val="778289"/>
              </w:rPr>
            </w:pPr>
            <w:r>
              <w:rPr>
                <w:color w:val="778289"/>
              </w:rPr>
              <w:t>28.06.2019</w:t>
            </w:r>
          </w:p>
        </w:tc>
        <w:tc>
          <w:tcPr>
            <w:tcW w:w="0" w:type="auto"/>
            <w:tcBorders>
              <w:top w:val="single" w:sz="6" w:space="0" w:color="EFEFEF"/>
              <w:left w:val="single" w:sz="6" w:space="0" w:color="EFEFEF"/>
              <w:bottom w:val="single" w:sz="6" w:space="0" w:color="EFEFEF"/>
              <w:right w:val="single" w:sz="6" w:space="0" w:color="EFEFEF"/>
            </w:tcBorders>
            <w:tcMar>
              <w:top w:w="22" w:type="dxa"/>
              <w:left w:w="22" w:type="dxa"/>
              <w:bottom w:w="22" w:type="dxa"/>
              <w:right w:w="22" w:type="dxa"/>
            </w:tcMar>
            <w:vAlign w:val="center"/>
          </w:tcPr>
          <w:p w:rsidR="00546E85" w:rsidRDefault="00546E85">
            <w:pPr>
              <w:rPr>
                <w:color w:val="778289"/>
              </w:rPr>
            </w:pPr>
            <w:r>
              <w:rPr>
                <w:color w:val="778289"/>
              </w:rPr>
              <w:t xml:space="preserve">dnesky.sk </w:t>
            </w:r>
          </w:p>
        </w:tc>
        <w:tc>
          <w:tcPr>
            <w:tcW w:w="7493" w:type="dxa"/>
            <w:tcBorders>
              <w:top w:val="single" w:sz="6" w:space="0" w:color="EFEFEF"/>
              <w:left w:val="single" w:sz="6" w:space="0" w:color="EFEFEF"/>
              <w:bottom w:val="single" w:sz="6" w:space="0" w:color="EFEFEF"/>
              <w:right w:val="single" w:sz="6" w:space="0" w:color="EFEFEF"/>
            </w:tcBorders>
            <w:tcMar>
              <w:top w:w="22" w:type="dxa"/>
              <w:left w:w="22" w:type="dxa"/>
              <w:bottom w:w="22" w:type="dxa"/>
              <w:right w:w="22" w:type="dxa"/>
            </w:tcMar>
            <w:vAlign w:val="center"/>
          </w:tcPr>
          <w:p w:rsidR="00546E85" w:rsidRDefault="0028750A">
            <w:pPr>
              <w:rPr>
                <w:color w:val="778289"/>
              </w:rPr>
            </w:pPr>
            <w:hyperlink w:anchor="Article__xi16__OPSK19C74005" w:history="1">
              <w:r w:rsidR="00546E85">
                <w:rPr>
                  <w:b/>
                  <w:bCs/>
                  <w:color w:val="303030"/>
                  <w:u w:val="single" w:color="303030"/>
                </w:rPr>
                <w:t>V systéme duálneho vzdelávania je certifikovaných 14 pekární</w:t>
              </w:r>
              <w:bookmarkStart w:id="7" w:name="TableOfContent__xi16__OPSK19C74005"/>
            </w:hyperlink>
            <w:bookmarkEnd w:id="7"/>
          </w:p>
        </w:tc>
      </w:tr>
      <w:tr w:rsidR="00546E85" w:rsidTr="003C4072">
        <w:trPr>
          <w:cantSplit/>
          <w:trHeight w:val="270"/>
          <w:tblCellSpacing w:w="15" w:type="dxa"/>
        </w:trPr>
        <w:tc>
          <w:tcPr>
            <w:tcW w:w="0" w:type="auto"/>
            <w:tcBorders>
              <w:top w:val="single" w:sz="6" w:space="0" w:color="EFEFEF"/>
              <w:left w:val="single" w:sz="6" w:space="0" w:color="EFEFEF"/>
              <w:bottom w:val="single" w:sz="6" w:space="0" w:color="EFEFEF"/>
              <w:right w:val="single" w:sz="6" w:space="0" w:color="EFEFEF"/>
            </w:tcBorders>
            <w:tcMar>
              <w:top w:w="22" w:type="dxa"/>
              <w:left w:w="22" w:type="dxa"/>
              <w:bottom w:w="22" w:type="dxa"/>
              <w:right w:w="22" w:type="dxa"/>
            </w:tcMar>
            <w:vAlign w:val="center"/>
          </w:tcPr>
          <w:p w:rsidR="00546E85" w:rsidRDefault="00546E85">
            <w:pPr>
              <w:rPr>
                <w:color w:val="778289"/>
              </w:rPr>
            </w:pPr>
            <w:r>
              <w:rPr>
                <w:color w:val="778289"/>
              </w:rPr>
              <w:t>28.06.2019</w:t>
            </w:r>
          </w:p>
        </w:tc>
        <w:tc>
          <w:tcPr>
            <w:tcW w:w="0" w:type="auto"/>
            <w:tcBorders>
              <w:top w:val="single" w:sz="6" w:space="0" w:color="EFEFEF"/>
              <w:left w:val="single" w:sz="6" w:space="0" w:color="EFEFEF"/>
              <w:bottom w:val="single" w:sz="6" w:space="0" w:color="EFEFEF"/>
              <w:right w:val="single" w:sz="6" w:space="0" w:color="EFEFEF"/>
            </w:tcBorders>
            <w:tcMar>
              <w:top w:w="22" w:type="dxa"/>
              <w:left w:w="22" w:type="dxa"/>
              <w:bottom w:w="22" w:type="dxa"/>
              <w:right w:w="22" w:type="dxa"/>
            </w:tcMar>
            <w:vAlign w:val="center"/>
          </w:tcPr>
          <w:p w:rsidR="00546E85" w:rsidRDefault="00546E85">
            <w:pPr>
              <w:rPr>
                <w:color w:val="778289"/>
              </w:rPr>
            </w:pPr>
            <w:r>
              <w:rPr>
                <w:color w:val="778289"/>
              </w:rPr>
              <w:t xml:space="preserve">teraz.sk </w:t>
            </w:r>
          </w:p>
        </w:tc>
        <w:tc>
          <w:tcPr>
            <w:tcW w:w="7493" w:type="dxa"/>
            <w:tcBorders>
              <w:top w:val="single" w:sz="6" w:space="0" w:color="EFEFEF"/>
              <w:left w:val="single" w:sz="6" w:space="0" w:color="EFEFEF"/>
              <w:bottom w:val="single" w:sz="6" w:space="0" w:color="EFEFEF"/>
              <w:right w:val="single" w:sz="6" w:space="0" w:color="EFEFEF"/>
            </w:tcBorders>
            <w:tcMar>
              <w:top w:w="22" w:type="dxa"/>
              <w:left w:w="22" w:type="dxa"/>
              <w:bottom w:w="22" w:type="dxa"/>
              <w:right w:w="22" w:type="dxa"/>
            </w:tcMar>
            <w:vAlign w:val="center"/>
          </w:tcPr>
          <w:p w:rsidR="00546E85" w:rsidRDefault="0028750A">
            <w:pPr>
              <w:rPr>
                <w:color w:val="778289"/>
              </w:rPr>
            </w:pPr>
            <w:hyperlink w:anchor="Article__xi16__OPSK19C73966" w:history="1">
              <w:r w:rsidR="00546E85">
                <w:rPr>
                  <w:b/>
                  <w:bCs/>
                  <w:color w:val="303030"/>
                  <w:u w:val="single" w:color="303030"/>
                </w:rPr>
                <w:t>V systéme duálneho vzdelávania je certifikovaných 14 pekární</w:t>
              </w:r>
              <w:bookmarkStart w:id="8" w:name="TableOfContent__xi16__OPSK19C73966"/>
            </w:hyperlink>
            <w:bookmarkEnd w:id="8"/>
          </w:p>
        </w:tc>
      </w:tr>
      <w:tr w:rsidR="00546E85" w:rsidTr="003C4072">
        <w:trPr>
          <w:cantSplit/>
          <w:trHeight w:val="270"/>
          <w:tblCellSpacing w:w="15" w:type="dxa"/>
        </w:trPr>
        <w:tc>
          <w:tcPr>
            <w:tcW w:w="0" w:type="auto"/>
            <w:tcBorders>
              <w:top w:val="single" w:sz="6" w:space="0" w:color="EFEFEF"/>
              <w:left w:val="single" w:sz="6" w:space="0" w:color="EFEFEF"/>
              <w:bottom w:val="single" w:sz="6" w:space="0" w:color="EFEFEF"/>
              <w:right w:val="single" w:sz="6" w:space="0" w:color="EFEFEF"/>
            </w:tcBorders>
            <w:tcMar>
              <w:top w:w="22" w:type="dxa"/>
              <w:left w:w="22" w:type="dxa"/>
              <w:bottom w:w="22" w:type="dxa"/>
              <w:right w:w="22" w:type="dxa"/>
            </w:tcMar>
            <w:vAlign w:val="center"/>
          </w:tcPr>
          <w:p w:rsidR="00546E85" w:rsidRDefault="00546E85">
            <w:pPr>
              <w:rPr>
                <w:color w:val="778289"/>
              </w:rPr>
            </w:pPr>
            <w:r>
              <w:rPr>
                <w:color w:val="778289"/>
              </w:rPr>
              <w:t>28.06.2019</w:t>
            </w:r>
          </w:p>
        </w:tc>
        <w:tc>
          <w:tcPr>
            <w:tcW w:w="0" w:type="auto"/>
            <w:tcBorders>
              <w:top w:val="single" w:sz="6" w:space="0" w:color="EFEFEF"/>
              <w:left w:val="single" w:sz="6" w:space="0" w:color="EFEFEF"/>
              <w:bottom w:val="single" w:sz="6" w:space="0" w:color="EFEFEF"/>
              <w:right w:val="single" w:sz="6" w:space="0" w:color="EFEFEF"/>
            </w:tcBorders>
            <w:tcMar>
              <w:top w:w="22" w:type="dxa"/>
              <w:left w:w="22" w:type="dxa"/>
              <w:bottom w:w="22" w:type="dxa"/>
              <w:right w:w="22" w:type="dxa"/>
            </w:tcMar>
            <w:vAlign w:val="center"/>
          </w:tcPr>
          <w:p w:rsidR="00546E85" w:rsidRDefault="00546E85">
            <w:pPr>
              <w:rPr>
                <w:color w:val="778289"/>
              </w:rPr>
            </w:pPr>
            <w:r>
              <w:rPr>
                <w:color w:val="778289"/>
              </w:rPr>
              <w:t xml:space="preserve">sme.sk </w:t>
            </w:r>
          </w:p>
        </w:tc>
        <w:tc>
          <w:tcPr>
            <w:tcW w:w="7493" w:type="dxa"/>
            <w:tcBorders>
              <w:top w:val="single" w:sz="6" w:space="0" w:color="EFEFEF"/>
              <w:left w:val="single" w:sz="6" w:space="0" w:color="EFEFEF"/>
              <w:bottom w:val="single" w:sz="6" w:space="0" w:color="EFEFEF"/>
              <w:right w:val="single" w:sz="6" w:space="0" w:color="EFEFEF"/>
            </w:tcBorders>
            <w:tcMar>
              <w:top w:w="22" w:type="dxa"/>
              <w:left w:w="22" w:type="dxa"/>
              <w:bottom w:w="22" w:type="dxa"/>
              <w:right w:w="22" w:type="dxa"/>
            </w:tcMar>
            <w:vAlign w:val="center"/>
          </w:tcPr>
          <w:p w:rsidR="00546E85" w:rsidRDefault="0028750A">
            <w:pPr>
              <w:rPr>
                <w:color w:val="778289"/>
              </w:rPr>
            </w:pPr>
            <w:hyperlink w:anchor="Article__xi16__OPSK19C74179" w:history="1">
              <w:r w:rsidR="00546E85">
                <w:rPr>
                  <w:b/>
                  <w:bCs/>
                  <w:color w:val="303030"/>
                  <w:u w:val="single" w:color="303030"/>
                </w:rPr>
                <w:t>V systéme duálneho vzdelávania je štrnásť pekární</w:t>
              </w:r>
              <w:bookmarkStart w:id="9" w:name="TableOfContent__xi16__OPSK19C74179"/>
            </w:hyperlink>
            <w:bookmarkEnd w:id="9"/>
          </w:p>
        </w:tc>
      </w:tr>
      <w:tr w:rsidR="00546E85" w:rsidTr="003C4072">
        <w:trPr>
          <w:cantSplit/>
          <w:trHeight w:val="270"/>
          <w:tblCellSpacing w:w="15" w:type="dxa"/>
        </w:trPr>
        <w:tc>
          <w:tcPr>
            <w:tcW w:w="0" w:type="auto"/>
            <w:tcBorders>
              <w:top w:val="single" w:sz="6" w:space="0" w:color="EFEFEF"/>
              <w:left w:val="single" w:sz="6" w:space="0" w:color="EFEFEF"/>
              <w:bottom w:val="single" w:sz="6" w:space="0" w:color="EFEFEF"/>
              <w:right w:val="single" w:sz="6" w:space="0" w:color="EFEFEF"/>
            </w:tcBorders>
            <w:tcMar>
              <w:top w:w="22" w:type="dxa"/>
              <w:left w:w="22" w:type="dxa"/>
              <w:bottom w:w="22" w:type="dxa"/>
              <w:right w:w="22" w:type="dxa"/>
            </w:tcMar>
            <w:vAlign w:val="center"/>
          </w:tcPr>
          <w:p w:rsidR="00546E85" w:rsidRDefault="00546E85">
            <w:pPr>
              <w:rPr>
                <w:color w:val="778289"/>
              </w:rPr>
            </w:pPr>
            <w:r>
              <w:rPr>
                <w:color w:val="778289"/>
              </w:rPr>
              <w:t>28.06.2019</w:t>
            </w:r>
          </w:p>
        </w:tc>
        <w:tc>
          <w:tcPr>
            <w:tcW w:w="0" w:type="auto"/>
            <w:tcBorders>
              <w:top w:val="single" w:sz="6" w:space="0" w:color="EFEFEF"/>
              <w:left w:val="single" w:sz="6" w:space="0" w:color="EFEFEF"/>
              <w:bottom w:val="single" w:sz="6" w:space="0" w:color="EFEFEF"/>
              <w:right w:val="single" w:sz="6" w:space="0" w:color="EFEFEF"/>
            </w:tcBorders>
            <w:tcMar>
              <w:top w:w="22" w:type="dxa"/>
              <w:left w:w="22" w:type="dxa"/>
              <w:bottom w:w="22" w:type="dxa"/>
              <w:right w:w="22" w:type="dxa"/>
            </w:tcMar>
            <w:vAlign w:val="center"/>
          </w:tcPr>
          <w:p w:rsidR="00546E85" w:rsidRDefault="00546E85">
            <w:pPr>
              <w:rPr>
                <w:color w:val="778289"/>
              </w:rPr>
            </w:pPr>
            <w:proofErr w:type="spellStart"/>
            <w:r>
              <w:rPr>
                <w:color w:val="778289"/>
              </w:rPr>
              <w:t>Tasr</w:t>
            </w:r>
            <w:proofErr w:type="spellEnd"/>
            <w:r>
              <w:rPr>
                <w:color w:val="778289"/>
              </w:rPr>
              <w:t xml:space="preserve"> </w:t>
            </w:r>
          </w:p>
        </w:tc>
        <w:tc>
          <w:tcPr>
            <w:tcW w:w="7493" w:type="dxa"/>
            <w:tcBorders>
              <w:top w:val="single" w:sz="6" w:space="0" w:color="EFEFEF"/>
              <w:left w:val="single" w:sz="6" w:space="0" w:color="EFEFEF"/>
              <w:bottom w:val="single" w:sz="6" w:space="0" w:color="EFEFEF"/>
              <w:right w:val="single" w:sz="6" w:space="0" w:color="EFEFEF"/>
            </w:tcBorders>
            <w:tcMar>
              <w:top w:w="22" w:type="dxa"/>
              <w:left w:w="22" w:type="dxa"/>
              <w:bottom w:w="22" w:type="dxa"/>
              <w:right w:w="22" w:type="dxa"/>
            </w:tcMar>
            <w:vAlign w:val="center"/>
          </w:tcPr>
          <w:p w:rsidR="00546E85" w:rsidRDefault="0028750A">
            <w:pPr>
              <w:rPr>
                <w:color w:val="778289"/>
              </w:rPr>
            </w:pPr>
            <w:hyperlink w:anchor="Article__xi16__2019Qd179171" w:history="1">
              <w:r w:rsidR="00546E85">
                <w:rPr>
                  <w:b/>
                  <w:bCs/>
                  <w:color w:val="303030"/>
                  <w:u w:val="single" w:color="303030"/>
                </w:rPr>
                <w:t>Hospodárstvo: V systéme duálneho vzdelávania je certifikovaných 14 pekární</w:t>
              </w:r>
              <w:bookmarkStart w:id="10" w:name="TableOfContent__xi16__2019Qd179171"/>
            </w:hyperlink>
            <w:bookmarkEnd w:id="10"/>
          </w:p>
        </w:tc>
      </w:tr>
    </w:tbl>
    <w:p w:rsidR="00E61DA1" w:rsidRDefault="00E61DA1"/>
    <w:p w:rsidR="00E61DA1" w:rsidRDefault="0028750A">
      <w:r>
        <w:rPr>
          <w:noProof/>
        </w:rPr>
        <w:pict>
          <v:rect id="_x0000_i1047" alt="" style="width:527pt;height:.05pt;mso-width-percent:0;mso-height-percent:0;mso-width-percent:0;mso-height-percent:0" o:hralign="center" o:hrstd="t" o:hr="t" fillcolor="gray" stroked="f">
            <v:path strokeok="f"/>
          </v:rect>
        </w:pic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82"/>
        <w:gridCol w:w="10362"/>
        <w:gridCol w:w="81"/>
      </w:tblGrid>
      <w:tr w:rsidR="00E61DA1">
        <w:trPr>
          <w:tblCellSpacing w:w="15" w:type="dxa"/>
        </w:trPr>
        <w:tc>
          <w:tcPr>
            <w:tcW w:w="0" w:type="auto"/>
            <w:tcMar>
              <w:top w:w="15" w:type="dxa"/>
              <w:left w:w="15" w:type="dxa"/>
              <w:bottom w:w="15" w:type="dxa"/>
              <w:right w:w="15" w:type="dxa"/>
            </w:tcMar>
            <w:vAlign w:val="center"/>
          </w:tcPr>
          <w:p w:rsidR="00E61DA1" w:rsidRDefault="00E61DA1"/>
        </w:tc>
        <w:tc>
          <w:tcPr>
            <w:tcW w:w="5000" w:type="pct"/>
            <w:tcMar>
              <w:top w:w="15" w:type="dxa"/>
              <w:left w:w="15" w:type="dxa"/>
              <w:bottom w:w="15" w:type="dxa"/>
              <w:right w:w="15" w:type="dxa"/>
            </w:tcMar>
            <w:vAlign w:val="center"/>
          </w:tcPr>
          <w:p w:rsidR="00E61DA1" w:rsidRDefault="00387001">
            <w:pPr>
              <w:pStyle w:val="Nadpis2"/>
              <w:keepNext w:val="0"/>
              <w:spacing w:before="224" w:after="224"/>
              <w:rPr>
                <w:sz w:val="27"/>
                <w:szCs w:val="27"/>
              </w:rPr>
            </w:pPr>
            <w:r>
              <w:rPr>
                <w:rFonts w:ascii="Arial" w:eastAsia="Arial" w:hAnsi="Arial" w:cs="Arial"/>
                <w:iCs w:val="0"/>
                <w:sz w:val="27"/>
                <w:szCs w:val="27"/>
              </w:rPr>
              <w:t>Plné znenia</w:t>
            </w:r>
          </w:p>
        </w:tc>
        <w:tc>
          <w:tcPr>
            <w:tcW w:w="0" w:type="auto"/>
            <w:tcMar>
              <w:top w:w="15" w:type="dxa"/>
              <w:left w:w="15" w:type="dxa"/>
              <w:bottom w:w="15" w:type="dxa"/>
              <w:right w:w="15" w:type="dxa"/>
            </w:tcMar>
            <w:vAlign w:val="center"/>
          </w:tcPr>
          <w:p w:rsidR="00E61DA1" w:rsidRDefault="00E61DA1"/>
        </w:tc>
      </w:tr>
    </w:tbl>
    <w:p w:rsidR="00E61DA1" w:rsidRDefault="0028750A">
      <w:pPr>
        <w:ind w:left="15" w:right="15"/>
        <w:rPr>
          <w:color w:val="808080"/>
        </w:rPr>
      </w:pPr>
      <w:r>
        <w:rPr>
          <w:noProof/>
        </w:rPr>
        <w:pict>
          <v:rect id="_x0000_i1046" alt="" style="width:525.5pt;height:.05pt;mso-width-percent:0;mso-height-percent:0;mso-width-percent:0;mso-height-percent:0" o:hralign="center" o:hrstd="t" o:hr="t" fillcolor="gray" stroked="f">
            <v:path strokeok="f"/>
          </v:rect>
        </w:pict>
      </w:r>
    </w:p>
    <w:p w:rsidR="00E61DA1" w:rsidRDefault="00387001">
      <w:pPr>
        <w:spacing w:line="15" w:lineRule="atLeast"/>
        <w:rPr>
          <w:color w:val="FFFFFF"/>
          <w:sz w:val="0"/>
          <w:szCs w:val="0"/>
        </w:rPr>
      </w:pPr>
      <w:r>
        <w:rPr>
          <w:color w:val="FFFFFF"/>
          <w:sz w:val="0"/>
          <w:szCs w:val="0"/>
        </w:rPr>
        <w:t xml:space="preserve">1. </w:t>
      </w:r>
      <w:proofErr w:type="spellStart"/>
      <w:r>
        <w:rPr>
          <w:color w:val="FFFFFF"/>
          <w:sz w:val="0"/>
          <w:szCs w:val="0"/>
        </w:rPr>
        <w:t>Nextina</w:t>
      </w:r>
      <w:proofErr w:type="spellEnd"/>
    </w:p>
    <w:p w:rsidR="00E61DA1" w:rsidRDefault="0028750A">
      <w:pPr>
        <w:ind w:left="15" w:right="15"/>
        <w:rPr>
          <w:color w:val="808080"/>
        </w:rPr>
      </w:pPr>
      <w:bookmarkStart w:id="11" w:name="_GoBack"/>
      <w:bookmarkEnd w:id="11"/>
      <w:r>
        <w:rPr>
          <w:noProof/>
        </w:rPr>
        <w:pict>
          <v:rect id="_x0000_i1045" alt="" style="width:525.5pt;height:.05pt;mso-width-percent:0;mso-height-percent:0;mso-width-percent:0;mso-height-percent:0" o:hralign="center" o:hrstd="t" o:hr="t" fillcolor="gray" stroked="f">
            <v:path strokeok="f"/>
          </v:rect>
        </w:pict>
      </w:r>
    </w:p>
    <w:p w:rsidR="00E61DA1" w:rsidRDefault="0028750A">
      <w:pPr>
        <w:pStyle w:val="Nadpis2"/>
        <w:keepNext w:val="0"/>
        <w:spacing w:before="224" w:after="224"/>
        <w:rPr>
          <w:sz w:val="27"/>
          <w:szCs w:val="27"/>
        </w:rPr>
      </w:pPr>
      <w:hyperlink w:anchor="TableOfContent__xi16__OPSK19CW0016" w:history="1">
        <w:r w:rsidR="00387001">
          <w:rPr>
            <w:rFonts w:ascii="Arial" w:eastAsia="Arial" w:hAnsi="Arial" w:cs="Arial"/>
            <w:iCs w:val="0"/>
            <w:color w:val="303030"/>
            <w:sz w:val="32"/>
            <w:szCs w:val="32"/>
            <w:u w:val="single" w:color="303030"/>
          </w:rPr>
          <w:t xml:space="preserve">Žiadosť o Zelenú naftu podávajte len elektronicky </w:t>
        </w:r>
        <w:bookmarkStart w:id="12" w:name="Article__xi16__OPSK19CW0016"/>
      </w:hyperlink>
      <w:bookmarkEnd w:id="12"/>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816"/>
        <w:gridCol w:w="9724"/>
      </w:tblGrid>
      <w:tr w:rsidR="00E61DA1">
        <w:trPr>
          <w:tblCellSpacing w:w="15" w:type="dxa"/>
        </w:trPr>
        <w:tc>
          <w:tcPr>
            <w:tcW w:w="0" w:type="auto"/>
            <w:tcMar>
              <w:top w:w="15" w:type="dxa"/>
              <w:left w:w="15" w:type="dxa"/>
              <w:bottom w:w="15" w:type="dxa"/>
              <w:right w:w="15" w:type="dxa"/>
            </w:tcMar>
            <w:vAlign w:val="center"/>
          </w:tcPr>
          <w:p w:rsidR="00E61DA1" w:rsidRDefault="00387001">
            <w:r>
              <w:rPr>
                <w:b/>
                <w:bCs/>
              </w:rPr>
              <w:t>Dátum:</w:t>
            </w:r>
          </w:p>
        </w:tc>
        <w:tc>
          <w:tcPr>
            <w:tcW w:w="5000" w:type="pct"/>
            <w:tcMar>
              <w:top w:w="15" w:type="dxa"/>
              <w:left w:w="15" w:type="dxa"/>
              <w:bottom w:w="15" w:type="dxa"/>
              <w:right w:w="15" w:type="dxa"/>
            </w:tcMar>
            <w:vAlign w:val="center"/>
          </w:tcPr>
          <w:p w:rsidR="00E61DA1" w:rsidRDefault="00387001">
            <w:r>
              <w:t>23.07.2019</w:t>
            </w:r>
          </w:p>
        </w:tc>
      </w:tr>
      <w:tr w:rsidR="00E61DA1">
        <w:trPr>
          <w:tblCellSpacing w:w="15" w:type="dxa"/>
        </w:trPr>
        <w:tc>
          <w:tcPr>
            <w:tcW w:w="0" w:type="auto"/>
            <w:tcMar>
              <w:top w:w="15" w:type="dxa"/>
              <w:left w:w="15" w:type="dxa"/>
              <w:bottom w:w="15" w:type="dxa"/>
              <w:right w:w="15" w:type="dxa"/>
            </w:tcMar>
            <w:vAlign w:val="center"/>
          </w:tcPr>
          <w:p w:rsidR="00E61DA1" w:rsidRDefault="00387001">
            <w:r>
              <w:rPr>
                <w:b/>
                <w:bCs/>
              </w:rPr>
              <w:t>Zdroj:</w:t>
            </w:r>
          </w:p>
        </w:tc>
        <w:tc>
          <w:tcPr>
            <w:tcW w:w="0" w:type="auto"/>
            <w:tcMar>
              <w:top w:w="15" w:type="dxa"/>
              <w:left w:w="15" w:type="dxa"/>
              <w:bottom w:w="15" w:type="dxa"/>
              <w:right w:w="15" w:type="dxa"/>
            </w:tcMar>
            <w:vAlign w:val="center"/>
          </w:tcPr>
          <w:p w:rsidR="00E61DA1" w:rsidRDefault="00387001">
            <w:r>
              <w:t xml:space="preserve">hnonline.sk </w:t>
            </w:r>
          </w:p>
        </w:tc>
      </w:tr>
      <w:tr w:rsidR="00E61DA1">
        <w:trPr>
          <w:tblCellSpacing w:w="15" w:type="dxa"/>
        </w:trPr>
        <w:tc>
          <w:tcPr>
            <w:tcW w:w="0" w:type="auto"/>
            <w:tcMar>
              <w:top w:w="15" w:type="dxa"/>
              <w:left w:w="15" w:type="dxa"/>
              <w:bottom w:w="15" w:type="dxa"/>
              <w:right w:w="15" w:type="dxa"/>
            </w:tcMar>
            <w:vAlign w:val="center"/>
          </w:tcPr>
          <w:p w:rsidR="00E61DA1" w:rsidRDefault="00387001">
            <w:r>
              <w:rPr>
                <w:b/>
                <w:bCs/>
              </w:rPr>
              <w:t>Strana:</w:t>
            </w:r>
          </w:p>
        </w:tc>
        <w:tc>
          <w:tcPr>
            <w:tcW w:w="0" w:type="auto"/>
            <w:tcMar>
              <w:top w:w="15" w:type="dxa"/>
              <w:left w:w="15" w:type="dxa"/>
              <w:bottom w:w="15" w:type="dxa"/>
              <w:right w:w="15" w:type="dxa"/>
            </w:tcMar>
            <w:vAlign w:val="center"/>
          </w:tcPr>
          <w:p w:rsidR="00E61DA1" w:rsidRDefault="00E61DA1"/>
        </w:tc>
      </w:tr>
      <w:tr w:rsidR="00E61DA1">
        <w:trPr>
          <w:tblCellSpacing w:w="15" w:type="dxa"/>
        </w:trPr>
        <w:tc>
          <w:tcPr>
            <w:tcW w:w="0" w:type="auto"/>
            <w:tcMar>
              <w:top w:w="15" w:type="dxa"/>
              <w:left w:w="15" w:type="dxa"/>
              <w:bottom w:w="15" w:type="dxa"/>
              <w:right w:w="15" w:type="dxa"/>
            </w:tcMar>
            <w:vAlign w:val="center"/>
          </w:tcPr>
          <w:p w:rsidR="00E61DA1" w:rsidRDefault="00387001">
            <w:r>
              <w:rPr>
                <w:b/>
                <w:bCs/>
              </w:rPr>
              <w:t>Originál:</w:t>
            </w:r>
          </w:p>
        </w:tc>
        <w:tc>
          <w:tcPr>
            <w:tcW w:w="0" w:type="auto"/>
            <w:tcMar>
              <w:top w:w="15" w:type="dxa"/>
              <w:left w:w="15" w:type="dxa"/>
              <w:bottom w:w="15" w:type="dxa"/>
              <w:right w:w="15" w:type="dxa"/>
            </w:tcMar>
            <w:vAlign w:val="center"/>
          </w:tcPr>
          <w:p w:rsidR="00E61DA1" w:rsidRDefault="0028750A">
            <w:hyperlink r:id="rId11" w:history="1">
              <w:r w:rsidR="00387001">
                <w:rPr>
                  <w:rStyle w:val="link-url"/>
                </w:rPr>
                <w:t>URL</w:t>
              </w:r>
            </w:hyperlink>
            <w:r w:rsidR="00387001">
              <w:t> </w:t>
            </w:r>
          </w:p>
        </w:tc>
      </w:tr>
    </w:tbl>
    <w:p w:rsidR="00E61DA1" w:rsidRDefault="0028750A">
      <w:pPr>
        <w:ind w:left="15" w:right="15"/>
        <w:rPr>
          <w:color w:val="808080"/>
        </w:rPr>
      </w:pPr>
      <w:r>
        <w:rPr>
          <w:noProof/>
        </w:rPr>
        <w:pict>
          <v:rect id="_x0000_i1044" alt="" style="width:525.5pt;height:.05pt;mso-width-percent:0;mso-height-percent:0;mso-width-percent:0;mso-height-percent:0" o:hralign="center" o:hrstd="t" o:hr="t" fillcolor="gray" stroked="f">
            <v:path strokeok="f"/>
          </v:rect>
        </w:pict>
      </w:r>
    </w:p>
    <w:p w:rsidR="00E61DA1" w:rsidRDefault="00387001">
      <w:r>
        <w:t xml:space="preserve">Jana Véghová </w:t>
      </w:r>
    </w:p>
    <w:p w:rsidR="00E61DA1" w:rsidRDefault="00387001">
      <w:pPr>
        <w:spacing w:before="180" w:after="180"/>
      </w:pPr>
      <w:r>
        <w:t xml:space="preserve">Pôdohospodárska platobná agentúra začala s registráciou oprávnených žiadateľov na Zelenú naftu 2019+. </w:t>
      </w:r>
      <w:r>
        <w:br/>
      </w:r>
      <w:r>
        <w:br/>
        <w:t xml:space="preserve">Zelená nafta 2019+ je historicky prvá štátna podpora v </w:t>
      </w:r>
      <w:proofErr w:type="spellStart"/>
      <w:r>
        <w:t>agrosektore</w:t>
      </w:r>
      <w:proofErr w:type="spellEnd"/>
      <w:r>
        <w:t xml:space="preserve">, ktorá bude na sto percent realizovaná elektronicky. Registrácia bude platná aj v nasledujúcich rokoch. „Všetci oprávnení žiadatelia o Zelenú naftu 2019+ si však musia vytvoriť konto na štátnom portáli https://www.itms2014.sk/do 9. augusta 2019,“ uviedol Juraj Kožuch, generálny riaditeľ Poľnohospodárskej platobnej agentúry. </w:t>
      </w:r>
      <w:r>
        <w:br/>
      </w:r>
      <w:r>
        <w:br/>
        <w:t xml:space="preserve">Vybrané druhy výroby </w:t>
      </w:r>
      <w:r>
        <w:br/>
        <w:t xml:space="preserve">V rámci výzvy pre oprávnených žiadateľov k povinnej registrácii v </w:t>
      </w:r>
      <w:proofErr w:type="spellStart"/>
      <w:r>
        <w:t>DataCentre</w:t>
      </w:r>
      <w:proofErr w:type="spellEnd"/>
      <w:r>
        <w:t xml:space="preserve"> prostredníctvom formulára Žiadosť o aktiváciu konta, ktorú agentúra zverejnila na svojej webovej stránke, budú môcť oprávnení žiadatelia získať celkovo 30 miliónov eur na podporu špeciálnej a špecializovanej rastlinnej a živočíšnej prvovýroby. V živočíšnej výrobe bude podpora zameraná na chov hovädzieho dobytka, ošípaných, oviec, kôz, koní, ale aj hydiny. V rastlinnej výrobe pôjde predovšetkým o vybrané druhy ovocia, zeleniny, </w:t>
      </w:r>
      <w:r>
        <w:lastRenderedPageBreak/>
        <w:t xml:space="preserve">strukovín, okopanín, ale napríklad aj o zemiaky či cukrovú repu. Nechýbajú ani olejniny ako mak či ľan. Podporené bude tiež pestovanie chmeľu, viniča či liečivých rastlín. </w:t>
      </w:r>
      <w:r>
        <w:br/>
      </w:r>
      <w:r>
        <w:br/>
        <w:t xml:space="preserve">„Upozorňujeme, že podanie žiadosti o aktiváciu konta nenahrádza samotné podanie žiadosti o poskytnutie Zelenej nafty 2019+. Je však nevyhnutným krokom na to, aby oprávnený poľnohospodár mohol o podporu zo Zelenej nafty 2019+ vôbec požiadať. Ak má konto aktivované, po vydaní výzvy PPA v priebehu augusta na www.apa.sk bude môcť žiadateľ o čerpanie štátnej pomoci vo forme úľav na environmentálnych daniach požiadať,“ dodal Juraj Kožuch. Bližšie informácie k podpornému opatreniu Zelená nafta 2019+ sú dostupné na webovej stránke PPA v časti Podpory/Štátna pomoc/Výzvy. </w:t>
      </w:r>
      <w:r>
        <w:br/>
      </w:r>
      <w:r>
        <w:br/>
        <w:t xml:space="preserve">Stabilizácia odvetvia </w:t>
      </w:r>
      <w:r>
        <w:br/>
        <w:t xml:space="preserve">Tento krok privítala aj Slovenská poľnohospodárska a potravinárska komora. Ako povedal Emil </w:t>
      </w:r>
      <w:proofErr w:type="spellStart"/>
      <w:r>
        <w:t>Macho</w:t>
      </w:r>
      <w:proofErr w:type="spellEnd"/>
      <w:r>
        <w:t xml:space="preserve">, predseda Slovenskej poľnohospodárskej a potravinárskej komory: „Zelená nafta je jedným z opatrení, ktoré naštartuje stabilizáciu odvetvia.“ </w:t>
      </w:r>
      <w:r>
        <w:br/>
      </w:r>
      <w:r>
        <w:br/>
        <w:t xml:space="preserve">Po dlhých rokoch čakania tak konečne poľnohospodári dostávajú koncepčné opatrenie, ktoré bežne funguje v krajinách Európskej únie. Pre poľnohospodárov je dobrou správou aj to, že nepôjde o administratívne náročnú podporu, pretože bude stopercentne realizovaná elektronicky. Dôležité je, že podpory sa nevyplatia plošne, ale finančná pomoc pôjde len do citlivých oblastí – do špeciálnej rastlinnej a živočíšnej výroby. Sú to odvetvia náročné na ľudskú prácu, a tak prinášajú zamestnanosť na vidiek. </w:t>
      </w:r>
      <w:r>
        <w:br/>
      </w:r>
      <w:r>
        <w:br/>
        <w:t xml:space="preserve">Štát podporí budovanie skladov </w:t>
      </w:r>
      <w:r>
        <w:br/>
        <w:t xml:space="preserve">BRATISLAVA – Pôdohospodárska platobná agentúra vyhlásila výzvu na skladovacie kapacity pre plodiny špeciálnej rastlinnej výroby. V rámci tohto opatrenia podporí </w:t>
      </w:r>
      <w:proofErr w:type="spellStart"/>
      <w:r>
        <w:t>agrorezort</w:t>
      </w:r>
      <w:proofErr w:type="spellEnd"/>
      <w:r>
        <w:t xml:space="preserve"> slovenských poľnohospodárov z Programu rozvoja vidieka sumou 15 miliónov eur. </w:t>
      </w:r>
      <w:r>
        <w:br/>
      </w:r>
      <w:r>
        <w:br/>
        <w:t xml:space="preserve">V rámci výzvy na výstavbu, rekonštrukciu a modernizáciu skladovacích kapacít sú oprávnené len investície súvisiace so skladovaním plodín špeciálnej rastlinnej výroby mierneho pásma, uvedených v prílohe výzvy. Okrem už vyššie spomenutých ide napríklad o zemiaky, kapustu, cibuľu, mrkvu, karfiol, brokolicu, šalát, zeler, petržlen, reďkovku, kukuricu cukrovú či tekvice. Z ovocia sú to napríklad hrušky, slivky, ringloty, broskyne, čerešne, višne či ríbezle. Súčasťou výstavby skladu môže byť aj výstavba bezprostredných vonkajších plôch, týkajúcich sa skladu a prípadné riešenie energetického hospodárstva, bezprostredne súvisiaceho s prevádzkou skladu. </w:t>
      </w:r>
      <w:r>
        <w:br/>
      </w:r>
      <w:r>
        <w:br/>
        <w:t xml:space="preserve">„Výzvu sme pripravili tak, aby mali naši prvovýrobcovia dostatok času na prípravu projektov. Skladovanie úrody je totiž významnou súčasťou potravinárskeho dodávateľského reťazca. Výzva je zameraná na podporu poľnohospodárskych podnikov, či už zvýšením produkcie, alebo jej kvality v kritických odvetviach, zvýšením odbytu, znížením záťaže na životné prostredie vrátane technológií a to všetko prostredníctvom vybudovania skladovacích kapacít. Zapojiť sa do nej môžu fyzické a právnické osoby podnikajúce v poľnohospodárskej prvovýrobe – pestovatelia plodín špeciálnej rastlinnej výroby. Podávať a prijímať samotné žiadosti o nenávratný finančný príspevok bude možné od 1. do 17. októbra 2019,“ povedal Juraj Kožuch, generálny riaditeľ agentúry. </w:t>
      </w:r>
      <w:r>
        <w:br/>
      </w:r>
      <w:r>
        <w:br/>
        <w:t xml:space="preserve">Pekárne si začínajú vychovávať vlastných žiakov </w:t>
      </w:r>
      <w:r>
        <w:br/>
        <w:t xml:space="preserve">BRATISLAVA – Pekári si chcú vychovávať svojich zamestnancov už od školy. V systéme duálneho vzdelávania je dnes registrovaných a certifikovaných 14 pekární. Podľa </w:t>
      </w:r>
      <w:r>
        <w:rPr>
          <w:shd w:val="clear" w:color="auto" w:fill="AD80FF"/>
        </w:rPr>
        <w:t>Slovenského</w:t>
      </w:r>
      <w:r>
        <w:t xml:space="preserve"> </w:t>
      </w:r>
      <w:r>
        <w:rPr>
          <w:shd w:val="clear" w:color="auto" w:fill="AD80FF"/>
        </w:rPr>
        <w:t>zväzu</w:t>
      </w:r>
      <w:r>
        <w:t xml:space="preserve"> </w:t>
      </w:r>
      <w:r>
        <w:rPr>
          <w:shd w:val="clear" w:color="auto" w:fill="AD80FF"/>
        </w:rPr>
        <w:t>pekárov</w:t>
      </w:r>
      <w:r>
        <w:t xml:space="preserve">, </w:t>
      </w:r>
      <w:r>
        <w:rPr>
          <w:shd w:val="clear" w:color="auto" w:fill="AD80FF"/>
        </w:rPr>
        <w:t>cukrárov</w:t>
      </w:r>
      <w:r>
        <w:t xml:space="preserve"> </w:t>
      </w:r>
      <w:r>
        <w:rPr>
          <w:shd w:val="clear" w:color="auto" w:fill="AD80FF"/>
        </w:rPr>
        <w:t>a</w:t>
      </w:r>
      <w:r>
        <w:t xml:space="preserve"> </w:t>
      </w:r>
      <w:proofErr w:type="spellStart"/>
      <w:r>
        <w:rPr>
          <w:shd w:val="clear" w:color="auto" w:fill="AD80FF"/>
        </w:rPr>
        <w:t>cestovinárov</w:t>
      </w:r>
      <w:proofErr w:type="spellEnd"/>
      <w:r>
        <w:t xml:space="preserve"> a Slovenskej potravinovej a priemyselnej komory, ktorá zbiera prihlášky a udeľuje certifikáciu k duálnemu vzdelávaniu, bude záujem pravdepodobne vyšší. Dôvodom je akútny nedostatok ľudí, ktorí by mali záujem o prácu v </w:t>
      </w:r>
      <w:proofErr w:type="spellStart"/>
      <w:r>
        <w:t>pekárenstve</w:t>
      </w:r>
      <w:proofErr w:type="spellEnd"/>
      <w:r>
        <w:t xml:space="preserve">. Odbor pekár skončilo v posledných rokoch len pár desiatok žiakov, pričom pekárne už od roku 2015 hlásia, že v celom odbore chýba až 2 000 ľudí. </w:t>
      </w:r>
      <w:r>
        <w:br/>
      </w:r>
      <w:r>
        <w:br/>
        <w:t xml:space="preserve">Systém duálneho vzdelávania sa vyznačuje prepojením všeobecného a odborného teoretického vzdelávania s praktickou prípravou žiakov u konkrétneho zamestnávateľa. „V posledných rokoch pekárne evidujú obrovský pokles záujmu mladých ľudí o štúdium </w:t>
      </w:r>
      <w:proofErr w:type="spellStart"/>
      <w:r>
        <w:t>pekárenstva</w:t>
      </w:r>
      <w:proofErr w:type="spellEnd"/>
      <w:r>
        <w:t xml:space="preserve">. Súvisí to aj s nízkymi mzdami, ktoré sú v odvetví. Avšak platí pravidlo, že vzdelávanie žiakov priamo v spoločnostiach zaisťuje vysokú úroveň kvalifikácie pracovníkov danej firmy. Z toho vyplýva, že tá spoločnosť, ktorá vzdelávanie poskytuje, udržuje krok s technologickými inováciami. Produktivita práce technika, ktorý pracuje so žiakom, sa zvyšuje o 10 až 20 percent,“ myslí si </w:t>
      </w:r>
      <w:r>
        <w:rPr>
          <w:shd w:val="clear" w:color="auto" w:fill="AD80FF"/>
        </w:rPr>
        <w:t>Tatiana</w:t>
      </w:r>
      <w:r>
        <w:t xml:space="preserve"> </w:t>
      </w:r>
      <w:r>
        <w:rPr>
          <w:shd w:val="clear" w:color="auto" w:fill="AD80FF"/>
        </w:rPr>
        <w:t>Lopúchová</w:t>
      </w:r>
      <w:r>
        <w:t xml:space="preserve">, </w:t>
      </w:r>
      <w:r>
        <w:rPr>
          <w:shd w:val="clear" w:color="auto" w:fill="AD80FF"/>
        </w:rPr>
        <w:t>predsedníčka</w:t>
      </w:r>
      <w:r>
        <w:t xml:space="preserve"> </w:t>
      </w:r>
      <w:r>
        <w:rPr>
          <w:shd w:val="clear" w:color="auto" w:fill="AD80FF"/>
        </w:rPr>
        <w:t>Slovenského</w:t>
      </w:r>
      <w:r>
        <w:t xml:space="preserve"> </w:t>
      </w:r>
      <w:r>
        <w:rPr>
          <w:shd w:val="clear" w:color="auto" w:fill="AD80FF"/>
        </w:rPr>
        <w:t>zväzu</w:t>
      </w:r>
      <w:r>
        <w:t xml:space="preserve"> </w:t>
      </w:r>
      <w:r>
        <w:rPr>
          <w:shd w:val="clear" w:color="auto" w:fill="AD80FF"/>
        </w:rPr>
        <w:t>pekárov</w:t>
      </w:r>
      <w:r>
        <w:t xml:space="preserve">, </w:t>
      </w:r>
      <w:r>
        <w:rPr>
          <w:shd w:val="clear" w:color="auto" w:fill="AD80FF"/>
        </w:rPr>
        <w:t>cukrárov</w:t>
      </w:r>
      <w:r>
        <w:t xml:space="preserve"> </w:t>
      </w:r>
      <w:r>
        <w:rPr>
          <w:shd w:val="clear" w:color="auto" w:fill="AD80FF"/>
        </w:rPr>
        <w:t>a</w:t>
      </w:r>
      <w:r>
        <w:t xml:space="preserve"> </w:t>
      </w:r>
      <w:proofErr w:type="spellStart"/>
      <w:r>
        <w:rPr>
          <w:shd w:val="clear" w:color="auto" w:fill="AD80FF"/>
        </w:rPr>
        <w:t>cestovinárov</w:t>
      </w:r>
      <w:proofErr w:type="spellEnd"/>
      <w:r>
        <w:t xml:space="preserve">. </w:t>
      </w:r>
      <w:r>
        <w:br/>
      </w:r>
      <w:r>
        <w:br/>
        <w:t xml:space="preserve">Od duálneho vzdelávania si pekári sľubujú, že práca v pekárni zaujme nových a mladých ľudí, vďaka čomu sa zvýši efektivita práce v prevádzkach, čo by sa malo odraziť na ich vyšších príjmoch. Väčšina z nich sa aktuálne nachádza v záporných číslach. „Táto forma vzdelávania sa v celej Európe považuje za najlepšie riešenie nezamestnanosti mladých,“ konštatuje </w:t>
      </w:r>
      <w:r>
        <w:rPr>
          <w:shd w:val="clear" w:color="auto" w:fill="AD80FF"/>
        </w:rPr>
        <w:t>Tatiana</w:t>
      </w:r>
      <w:r>
        <w:t xml:space="preserve"> </w:t>
      </w:r>
      <w:r>
        <w:rPr>
          <w:shd w:val="clear" w:color="auto" w:fill="AD80FF"/>
        </w:rPr>
        <w:t>Lopúchová</w:t>
      </w:r>
      <w:r>
        <w:t xml:space="preserve">. </w:t>
      </w:r>
      <w:r>
        <w:br/>
      </w:r>
      <w:r>
        <w:br/>
        <w:t xml:space="preserve">Ďalšie fungovanie Národného potravinového katalógu </w:t>
      </w:r>
      <w:r>
        <w:br/>
      </w:r>
      <w:proofErr w:type="spellStart"/>
      <w:r>
        <w:t>Agrorezort</w:t>
      </w:r>
      <w:proofErr w:type="spellEnd"/>
      <w:r>
        <w:t xml:space="preserve"> má záujem začleniť Národný potravinový katalóg pod Elektronický kontraktačný systém ministerstva vnútra. Katalóg ponúka verejným inštitúciám možnosť nakupovať čerstvé lokálne potraviny. </w:t>
      </w:r>
      <w:r>
        <w:br/>
      </w:r>
      <w:r>
        <w:br/>
        <w:t xml:space="preserve">Národný potravinový katalóg bol spustený v roku 2017 a aktuálne je v jeho ponuke 1 523 produktov. Najviac zastúpenými kategóriami sú cestoviny, mäso a mäsové výrobky. Využíva ho 75 subjektov. Ide predovšetkým o materské a základné školy, stredné odborné školy a gymnáziá, ale aj domovy sociálnych služieb a obce. </w:t>
      </w:r>
      <w:r>
        <w:br/>
      </w:r>
      <w:r>
        <w:lastRenderedPageBreak/>
        <w:br/>
        <w:t xml:space="preserve">„Národný potravinový katalóg je unikátna platforma na zabezpečenie zvýšenia podielu čerstvých, zdravých a lokálnych potravín vo verejných stravovacích zariadeniach. Testovacia prevádzka počas dvoch rokov ukázala veľký potenciál, avšak narazili sme na prevádzkové i kompetenčné limity nášho rezortu. Rozhodli sme sa preto hľadať iné riešenia jeho prevádzkovania. Oslovíme ministerstvo vnútra s návrhom, aby bol katalóg zaradený ako modul do portfólia Elektronického kontraktačného systému. Kým nebude zrejmé, ako bude projekt pokračovať, rozhodli sme sa jeho prevádzku počas školských prázdnin pozastaviť,“ informoval Jaroslav </w:t>
      </w:r>
      <w:proofErr w:type="spellStart"/>
      <w:r>
        <w:t>Regec</w:t>
      </w:r>
      <w:proofErr w:type="spellEnd"/>
      <w:r>
        <w:t xml:space="preserve">, generálny tajomník služobného úradu ministerstva pôdohospodárstva, ktoré zastrešuje celý projekt. </w:t>
      </w:r>
      <w:r>
        <w:br/>
      </w:r>
      <w:r>
        <w:br/>
        <w:t xml:space="preserve">„Podľa uzatvorených zmlúv si myslíme, že portál má veľký potenciál. Limitujúcim faktorom používania sú však zriaďovatelia zariadení s verejným stravovaním, ako sú školy, škôlky či domovy sociálnych služieb. Tie majú uzatvorené kontrakty s priekupníkmi a distribútormi. Ich nevôľa objednávať na základe čerstvosti, kvality a regionálne a podľa ceny, aj keď ide o suroviny dovezené z Poľska, zo Španielska či z Holandska, je veľmi silná. A to napriek tomu, že ide často o stravovanie detí či dôchodcov,“ vysvetľuje Jaroslav </w:t>
      </w:r>
      <w:proofErr w:type="spellStart"/>
      <w:r>
        <w:t>Regec</w:t>
      </w:r>
      <w:proofErr w:type="spellEnd"/>
      <w:r>
        <w:t xml:space="preserve">. </w:t>
      </w:r>
      <w:r>
        <w:br/>
      </w:r>
      <w:r>
        <w:br/>
        <w:t xml:space="preserve">Ak prenajímate pôdu, nemusíte sa báť, že pôjdete pod cenu </w:t>
      </w:r>
      <w:r>
        <w:br/>
      </w:r>
      <w:proofErr w:type="spellStart"/>
      <w:r>
        <w:t>Agrorezort</w:t>
      </w:r>
      <w:proofErr w:type="spellEnd"/>
      <w:r>
        <w:t xml:space="preserve"> v spolupráci s okresnými úradmi zverejnil priemerné výšky nájomného za užívanie poľnohospodárskej pôdy. Údaje o obvyklej výške nájomného sú zoradené podľa jednotlivých katastrálnych území. </w:t>
      </w:r>
      <w:r>
        <w:br/>
      </w:r>
      <w:r>
        <w:br/>
        <w:t xml:space="preserve">Novela zákona o nájme poľnohospodárskych pozemkov, poľnohospodárskeho podniku a lesných pozemkov stanovila pre nájomcov novú povinnosť, podľa ktorej sú povinní viesť a uchovávať evidenciu o dohodnutom a zaplatenom nájomnom za pozemky podľa katastrálnych území k 31. decembru. Údaje a informácie z tejto evidencie museli poskytnúť okresnému úradu do 31. januára. Údaje z formulárov boli potom použité na stanovenie obvyklej výšky nájomného za rok 2018 pre každé katastrálne územie. Vypočítala sa ako priemerná výška nájomného za užívanie poľnohospodárskej pôdy pri prevádzkovaní podniku pre každé katastrálne územie osobitne. Obvyklá výška nájomného sa bude určovať a zverejňovať každoročne. </w:t>
      </w:r>
      <w:r>
        <w:br/>
      </w:r>
      <w:r>
        <w:br/>
        <w:t xml:space="preserve">„Zverejnenie nájomného chráni majiteľov poľnohospodárskej pôdy pred neprimerane nízkymi cenami a tiež poskytuje nájomcom odrazový mostík pre stanovenie ceny nájmu. Všetky nové návrhy zmlúv už musia obsahovať cenu, ktorá je minimálne na úrovni obvyklej výšky nájomného platnej pre dané katastrálne územie. Ak nájomca navrhne nižšiu cenu ako obvyklú, vlastník ju môže odmietnuť. Odporúčame všetkým majiteľom pozemkov, aby si pred uzavretím každej novej zmluvy skontrolovali obvyklé nájomné, ktoré je zverejnené na stránke ministerstva pôdohospodárstva,“ upozornila ministerka </w:t>
      </w:r>
      <w:r>
        <w:rPr>
          <w:shd w:val="clear" w:color="auto" w:fill="AD80FF"/>
        </w:rPr>
        <w:t>Gabriela</w:t>
      </w:r>
      <w:r>
        <w:t xml:space="preserve"> </w:t>
      </w:r>
      <w:proofErr w:type="spellStart"/>
      <w:r>
        <w:rPr>
          <w:shd w:val="clear" w:color="auto" w:fill="AD80FF"/>
        </w:rPr>
        <w:t>Matečná</w:t>
      </w:r>
      <w:proofErr w:type="spellEnd"/>
      <w:r>
        <w:t xml:space="preserve">. </w:t>
      </w:r>
      <w:r>
        <w:br/>
      </w:r>
      <w:r>
        <w:br/>
      </w:r>
      <w:proofErr w:type="spellStart"/>
      <w:r>
        <w:t>Agrorezort</w:t>
      </w:r>
      <w:proofErr w:type="spellEnd"/>
      <w:r>
        <w:t xml:space="preserve"> vyhodnotil aj najčastejšie chyby a nedostatky pri vypĺňaní formulárov nájomcami. Išlo o duplicitne podané formuláre jedného nájomcu pre to isté katastrálne územie s rôznymi údajmi či neúplné údaje vo formulároch, keď boli napríklad vyplnené len údaje o prenajatej výmere, ale údaje o dohodnutom alebo zaplatenom nájomnom nie. Problémom boli aj nesprávne uvedené výmery prenajatej poľnohospodárskej pôdy alebo nesprávne uvedené hodnoty dohodnutého alebo zaplateného nájomného, prípadne oboch. Okresné úrady v takýchto prípadoch vyzývali nájomcov na nápravu a predloženie nových, opravených, respektíve doplnených sumárnych údajov. </w:t>
      </w:r>
      <w:r>
        <w:br/>
      </w:r>
      <w:r>
        <w:br/>
        <w:t xml:space="preserve">Kalendár veľtrhov a výstav 2019 </w:t>
      </w:r>
      <w:r>
        <w:br/>
      </w:r>
      <w:r>
        <w:br/>
        <w:t xml:space="preserve">Slovensko </w:t>
      </w:r>
      <w:r>
        <w:br/>
        <w:t xml:space="preserve">Poľnohospodárske a potravinárske výstavy: </w:t>
      </w:r>
      <w:r>
        <w:br/>
        <w:t xml:space="preserve">1. Agrokomplex, Nitra 22. – 25. 8. 2019 </w:t>
      </w:r>
      <w:r>
        <w:br/>
        <w:t xml:space="preserve">2. Festival národných špecialít 2019, Nitra 22. – 25. 8. 2019 </w:t>
      </w:r>
      <w:r>
        <w:br/>
        <w:t xml:space="preserve">3. </w:t>
      </w:r>
      <w:proofErr w:type="spellStart"/>
      <w:r>
        <w:t>Gastra</w:t>
      </w:r>
      <w:proofErr w:type="spellEnd"/>
      <w:r>
        <w:t xml:space="preserve"> &amp; </w:t>
      </w:r>
      <w:proofErr w:type="spellStart"/>
      <w:r>
        <w:t>Kulinária</w:t>
      </w:r>
      <w:proofErr w:type="spellEnd"/>
      <w:r>
        <w:t xml:space="preserve">, Nitra 6. – 9. 11. 2019 </w:t>
      </w:r>
      <w:r>
        <w:br/>
        <w:t xml:space="preserve">4. Národná výstava hospodárskych zvierat, Nitra 22. – 25. 8. 2019 </w:t>
      </w:r>
      <w:r>
        <w:br/>
        <w:t xml:space="preserve">5. Kôň 2019, Trenčín 13 – 14. 9. 2019 </w:t>
      </w:r>
      <w:r>
        <w:br/>
        <w:t xml:space="preserve">6. </w:t>
      </w:r>
      <w:proofErr w:type="spellStart"/>
      <w:r>
        <w:t>Jahrada</w:t>
      </w:r>
      <w:proofErr w:type="spellEnd"/>
      <w:r>
        <w:t xml:space="preserve"> 2019, Trenčín 11. – 12. 10. 2019 </w:t>
      </w:r>
      <w:r>
        <w:br/>
        <w:t xml:space="preserve">7. Demeter, 25. 10. 2019 </w:t>
      </w:r>
      <w:r>
        <w:br/>
        <w:t xml:space="preserve">8. XXII. Celoštátna výstava zvierat a III. Vyšehradská výstava zvierat, Nitra 22. – 24. 11. 2019 </w:t>
      </w:r>
      <w:r>
        <w:br/>
        <w:t xml:space="preserve">9. </w:t>
      </w:r>
      <w:proofErr w:type="spellStart"/>
      <w:r>
        <w:t>Vinum</w:t>
      </w:r>
      <w:proofErr w:type="spellEnd"/>
      <w:r>
        <w:t xml:space="preserve"> </w:t>
      </w:r>
      <w:proofErr w:type="spellStart"/>
      <w:r>
        <w:t>Laugaricio</w:t>
      </w:r>
      <w:proofErr w:type="spellEnd"/>
      <w:r>
        <w:t xml:space="preserve"> 29. – 30. 11. 2019 </w:t>
      </w:r>
      <w:r>
        <w:br/>
      </w:r>
      <w:r>
        <w:br/>
        <w:t xml:space="preserve">Chovateľské výstavy </w:t>
      </w:r>
      <w:r>
        <w:br/>
        <w:t xml:space="preserve">1. Šampionát </w:t>
      </w:r>
      <w:proofErr w:type="spellStart"/>
      <w:r>
        <w:t>holsteinského</w:t>
      </w:r>
      <w:proofErr w:type="spellEnd"/>
      <w:r>
        <w:t xml:space="preserve"> plemena SR, Nitra 11. 9. 2019 </w:t>
      </w:r>
      <w:r>
        <w:br/>
        <w:t xml:space="preserve">2. Stredoslovenská výstava koní, Podzámčok 1. 9. 2019 </w:t>
      </w:r>
      <w:r>
        <w:br/>
        <w:t xml:space="preserve">3. Chovateľský deň mäsových plemien – Východ 18. 9. 2019 </w:t>
      </w:r>
      <w:r>
        <w:br/>
        <w:t xml:space="preserve">4. Chovateľský deň hovädzieho dobytka, Prešov september 2019 </w:t>
      </w:r>
      <w:r>
        <w:br/>
      </w:r>
      <w:r>
        <w:br/>
        <w:t xml:space="preserve">Zahraničné výstavy a veľtrhy </w:t>
      </w:r>
      <w:r>
        <w:br/>
      </w:r>
      <w:proofErr w:type="spellStart"/>
      <w:r>
        <w:t>Anuga</w:t>
      </w:r>
      <w:proofErr w:type="spellEnd"/>
      <w:r>
        <w:t xml:space="preserve">, Kolín 2019, Nemecko 5. – 9. 10. 2019 </w:t>
      </w:r>
      <w:r>
        <w:br/>
      </w:r>
      <w:proofErr w:type="spellStart"/>
      <w:r>
        <w:t>World</w:t>
      </w:r>
      <w:proofErr w:type="spellEnd"/>
      <w:r>
        <w:t xml:space="preserve"> </w:t>
      </w:r>
      <w:proofErr w:type="spellStart"/>
      <w:r>
        <w:t>Food</w:t>
      </w:r>
      <w:proofErr w:type="spellEnd"/>
      <w:r>
        <w:t xml:space="preserve"> </w:t>
      </w:r>
      <w:proofErr w:type="spellStart"/>
      <w:r>
        <w:t>Moscow</w:t>
      </w:r>
      <w:proofErr w:type="spellEnd"/>
      <w:r>
        <w:t xml:space="preserve">, Rusko 24. – 27. 9. 2019 </w:t>
      </w:r>
      <w:r>
        <w:br/>
      </w:r>
      <w:proofErr w:type="spellStart"/>
      <w:r>
        <w:lastRenderedPageBreak/>
        <w:t>Warsaw</w:t>
      </w:r>
      <w:proofErr w:type="spellEnd"/>
      <w:r>
        <w:t xml:space="preserve"> </w:t>
      </w:r>
      <w:proofErr w:type="spellStart"/>
      <w:r>
        <w:t>Food</w:t>
      </w:r>
      <w:proofErr w:type="spellEnd"/>
      <w:r>
        <w:t xml:space="preserve"> Expo, Poľsko 12. – 14. 9. 2019 </w:t>
      </w:r>
      <w:r>
        <w:br/>
        <w:t xml:space="preserve">International Fair of </w:t>
      </w:r>
      <w:proofErr w:type="spellStart"/>
      <w:r>
        <w:t>agri-culture</w:t>
      </w:r>
      <w:proofErr w:type="spellEnd"/>
      <w:r>
        <w:t xml:space="preserve"> and </w:t>
      </w:r>
      <w:proofErr w:type="spellStart"/>
      <w:r>
        <w:t>food</w:t>
      </w:r>
      <w:proofErr w:type="spellEnd"/>
      <w:r>
        <w:t xml:space="preserve">, </w:t>
      </w:r>
      <w:proofErr w:type="spellStart"/>
      <w:r>
        <w:t>Gornja</w:t>
      </w:r>
      <w:proofErr w:type="spellEnd"/>
      <w:r>
        <w:t xml:space="preserve"> </w:t>
      </w:r>
      <w:proofErr w:type="spellStart"/>
      <w:r>
        <w:t>Radgona</w:t>
      </w:r>
      <w:proofErr w:type="spellEnd"/>
      <w:r>
        <w:t>, Slovinsko 24. – 29. 8. 2019</w:t>
      </w:r>
      <w:hyperlink w:anchor="toc" w:history="1">
        <w:r>
          <w:rPr>
            <w:rStyle w:val="Hypertextovprepojenie"/>
          </w:rPr>
          <w:t>toc</w:t>
        </w:r>
      </w:hyperlink>
    </w:p>
    <w:p w:rsidR="00E61DA1" w:rsidRDefault="00387001">
      <w:pPr>
        <w:spacing w:after="300"/>
      </w:pPr>
      <w:r>
        <w:t> </w:t>
      </w:r>
    </w:p>
    <w:p w:rsidR="00E61DA1" w:rsidRDefault="0028750A">
      <w:pPr>
        <w:ind w:left="15" w:right="15"/>
        <w:rPr>
          <w:color w:val="808080"/>
        </w:rPr>
      </w:pPr>
      <w:r>
        <w:rPr>
          <w:noProof/>
        </w:rPr>
        <w:pict>
          <v:rect id="_x0000_i1043" alt="" style="width:525.5pt;height:.05pt;mso-width-percent:0;mso-height-percent:0;mso-width-percent:0;mso-height-percent:0" o:hralign="center" o:hrstd="t" o:hr="t" fillcolor="gray" stroked="f">
            <v:path strokeok="f"/>
          </v:rect>
        </w:pict>
      </w:r>
    </w:p>
    <w:p w:rsidR="00E61DA1" w:rsidRDefault="0028750A">
      <w:pPr>
        <w:pStyle w:val="Nadpis2"/>
        <w:keepNext w:val="0"/>
        <w:spacing w:before="224" w:after="224"/>
        <w:rPr>
          <w:sz w:val="27"/>
          <w:szCs w:val="27"/>
        </w:rPr>
      </w:pPr>
      <w:hyperlink w:anchor="TableOfContent__xi16__2019J140A12C" w:history="1">
        <w:r w:rsidR="00387001">
          <w:rPr>
            <w:rFonts w:ascii="Arial" w:eastAsia="Arial" w:hAnsi="Arial" w:cs="Arial"/>
            <w:iCs w:val="0"/>
            <w:color w:val="303030"/>
            <w:sz w:val="32"/>
            <w:szCs w:val="32"/>
            <w:u w:val="single" w:color="303030"/>
          </w:rPr>
          <w:t xml:space="preserve">Pekárne si začínajú vychovávať žiakov </w:t>
        </w:r>
        <w:bookmarkStart w:id="13" w:name="Article__xi16__2019J140A12C"/>
      </w:hyperlink>
      <w:bookmarkEnd w:id="13"/>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816"/>
        <w:gridCol w:w="9724"/>
      </w:tblGrid>
      <w:tr w:rsidR="00E61DA1">
        <w:trPr>
          <w:tblCellSpacing w:w="15" w:type="dxa"/>
        </w:trPr>
        <w:tc>
          <w:tcPr>
            <w:tcW w:w="0" w:type="auto"/>
            <w:tcMar>
              <w:top w:w="15" w:type="dxa"/>
              <w:left w:w="15" w:type="dxa"/>
              <w:bottom w:w="15" w:type="dxa"/>
              <w:right w:w="15" w:type="dxa"/>
            </w:tcMar>
            <w:vAlign w:val="center"/>
          </w:tcPr>
          <w:p w:rsidR="00E61DA1" w:rsidRDefault="00387001">
            <w:r>
              <w:rPr>
                <w:b/>
                <w:bCs/>
              </w:rPr>
              <w:t>Dátum:</w:t>
            </w:r>
          </w:p>
        </w:tc>
        <w:tc>
          <w:tcPr>
            <w:tcW w:w="5000" w:type="pct"/>
            <w:tcMar>
              <w:top w:w="15" w:type="dxa"/>
              <w:left w:w="15" w:type="dxa"/>
              <w:bottom w:w="15" w:type="dxa"/>
              <w:right w:w="15" w:type="dxa"/>
            </w:tcMar>
            <w:vAlign w:val="center"/>
          </w:tcPr>
          <w:p w:rsidR="00E61DA1" w:rsidRDefault="00387001">
            <w:r>
              <w:t>23.07.2019</w:t>
            </w:r>
          </w:p>
        </w:tc>
      </w:tr>
      <w:tr w:rsidR="00E61DA1">
        <w:trPr>
          <w:tblCellSpacing w:w="15" w:type="dxa"/>
        </w:trPr>
        <w:tc>
          <w:tcPr>
            <w:tcW w:w="0" w:type="auto"/>
            <w:tcMar>
              <w:top w:w="15" w:type="dxa"/>
              <w:left w:w="15" w:type="dxa"/>
              <w:bottom w:w="15" w:type="dxa"/>
              <w:right w:w="15" w:type="dxa"/>
            </w:tcMar>
            <w:vAlign w:val="center"/>
          </w:tcPr>
          <w:p w:rsidR="00E61DA1" w:rsidRDefault="00387001">
            <w:r>
              <w:rPr>
                <w:b/>
                <w:bCs/>
              </w:rPr>
              <w:t>Zdroj:</w:t>
            </w:r>
          </w:p>
        </w:tc>
        <w:tc>
          <w:tcPr>
            <w:tcW w:w="0" w:type="auto"/>
            <w:tcMar>
              <w:top w:w="15" w:type="dxa"/>
              <w:left w:w="15" w:type="dxa"/>
              <w:bottom w:w="15" w:type="dxa"/>
              <w:right w:w="15" w:type="dxa"/>
            </w:tcMar>
            <w:vAlign w:val="center"/>
          </w:tcPr>
          <w:p w:rsidR="00E61DA1" w:rsidRDefault="00387001">
            <w:r>
              <w:t xml:space="preserve">Hospodárske noviny </w:t>
            </w:r>
          </w:p>
        </w:tc>
      </w:tr>
      <w:tr w:rsidR="00E61DA1">
        <w:trPr>
          <w:tblCellSpacing w:w="15" w:type="dxa"/>
        </w:trPr>
        <w:tc>
          <w:tcPr>
            <w:tcW w:w="0" w:type="auto"/>
            <w:tcMar>
              <w:top w:w="15" w:type="dxa"/>
              <w:left w:w="15" w:type="dxa"/>
              <w:bottom w:w="15" w:type="dxa"/>
              <w:right w:w="15" w:type="dxa"/>
            </w:tcMar>
            <w:vAlign w:val="center"/>
          </w:tcPr>
          <w:p w:rsidR="00E61DA1" w:rsidRDefault="00387001">
            <w:r>
              <w:rPr>
                <w:b/>
                <w:bCs/>
              </w:rPr>
              <w:t>Strana:</w:t>
            </w:r>
          </w:p>
        </w:tc>
        <w:tc>
          <w:tcPr>
            <w:tcW w:w="0" w:type="auto"/>
            <w:tcMar>
              <w:top w:w="15" w:type="dxa"/>
              <w:left w:w="15" w:type="dxa"/>
              <w:bottom w:w="15" w:type="dxa"/>
              <w:right w:w="15" w:type="dxa"/>
            </w:tcMar>
            <w:vAlign w:val="center"/>
          </w:tcPr>
          <w:p w:rsidR="00E61DA1" w:rsidRDefault="00387001">
            <w:r>
              <w:t>12</w:t>
            </w:r>
          </w:p>
        </w:tc>
      </w:tr>
      <w:tr w:rsidR="00E61DA1">
        <w:trPr>
          <w:tblCellSpacing w:w="15" w:type="dxa"/>
        </w:trPr>
        <w:tc>
          <w:tcPr>
            <w:tcW w:w="0" w:type="auto"/>
            <w:tcMar>
              <w:top w:w="15" w:type="dxa"/>
              <w:left w:w="15" w:type="dxa"/>
              <w:bottom w:w="15" w:type="dxa"/>
              <w:right w:w="15" w:type="dxa"/>
            </w:tcMar>
            <w:vAlign w:val="center"/>
          </w:tcPr>
          <w:p w:rsidR="00E61DA1" w:rsidRDefault="00387001">
            <w:r>
              <w:rPr>
                <w:b/>
                <w:bCs/>
              </w:rPr>
              <w:t>Originál:</w:t>
            </w:r>
          </w:p>
        </w:tc>
        <w:tc>
          <w:tcPr>
            <w:tcW w:w="0" w:type="auto"/>
            <w:tcMar>
              <w:top w:w="15" w:type="dxa"/>
              <w:left w:w="15" w:type="dxa"/>
              <w:bottom w:w="15" w:type="dxa"/>
              <w:right w:w="15" w:type="dxa"/>
            </w:tcMar>
            <w:vAlign w:val="center"/>
          </w:tcPr>
          <w:p w:rsidR="00E61DA1" w:rsidRDefault="00E61DA1"/>
        </w:tc>
      </w:tr>
    </w:tbl>
    <w:p w:rsidR="00E61DA1" w:rsidRDefault="0028750A">
      <w:pPr>
        <w:rPr>
          <w:b/>
          <w:bCs/>
          <w:sz w:val="21"/>
          <w:szCs w:val="21"/>
        </w:rPr>
      </w:pPr>
      <w:r>
        <w:rPr>
          <w:noProof/>
        </w:rPr>
        <w:pict>
          <v:rect id="_x0000_i1042" alt="" style="width:527pt;height:.05pt;mso-width-percent:0;mso-height-percent:0;mso-width-percent:0;mso-height-percent:0" o:hralign="center" o:hrstd="t" o:hr="t" fillcolor="gray" stroked="f">
            <v:path strokeok="f"/>
          </v:rect>
        </w:pict>
      </w:r>
    </w:p>
    <w:p w:rsidR="00E61DA1" w:rsidRDefault="00387001">
      <w:r>
        <w:t xml:space="preserve">(VEG) </w:t>
      </w:r>
    </w:p>
    <w:p w:rsidR="00E61DA1" w:rsidRDefault="00387001">
      <w:pPr>
        <w:spacing w:before="180" w:after="180"/>
      </w:pPr>
      <w:r>
        <w:t xml:space="preserve">VZDELÁVANIE </w:t>
      </w:r>
      <w:r>
        <w:br/>
      </w:r>
      <w:r>
        <w:br/>
        <w:t xml:space="preserve">Bratislava – Pekári si chcú vychovávať svojich zamestnancov už od školy. V systéme duálneho vzdelávania je dnes registrovaných a certifikovaných 14 pekární. Dôvodom je akútny nedostatok ľudí, ktorí by mali záujem o prácu v </w:t>
      </w:r>
      <w:proofErr w:type="spellStart"/>
      <w:r>
        <w:t>pekárenstve</w:t>
      </w:r>
      <w:proofErr w:type="spellEnd"/>
      <w:r>
        <w:t xml:space="preserve">. Odbor pekár skončilo v posledných rokoch len pár desiatok žiakov, pričom pekárne už od roku 2015 hlásia, že v celom odbore chýba až 2 000 ľudí. </w:t>
      </w:r>
      <w:r>
        <w:br/>
        <w:t xml:space="preserve">Od duálneho vzdelávania si pekári sľubujú, že práca v pekárni zaujme nových ľudí, vďaka čomu sa zvýši efektivita práce v prevádzkach, čo by sa malo odraziť na ich vyšších príjmoch. Väčšina z nich sa aktuálne nachádza v záporných číslach. „Táto forma vzdelávania sa v celej Európe považuje za najlepšie riešenie nezamestnanosti mladých,“ konštatuje </w:t>
      </w:r>
      <w:r>
        <w:rPr>
          <w:shd w:val="clear" w:color="auto" w:fill="AD80FF"/>
        </w:rPr>
        <w:t>Tatiana</w:t>
      </w:r>
      <w:r>
        <w:t xml:space="preserve"> </w:t>
      </w:r>
      <w:proofErr w:type="spellStart"/>
      <w:r>
        <w:rPr>
          <w:shd w:val="clear" w:color="auto" w:fill="AD80FF"/>
        </w:rPr>
        <w:t>Lopúchová</w:t>
      </w:r>
      <w:r>
        <w:t>.</w:t>
      </w:r>
      <w:hyperlink w:anchor="toc" w:history="1">
        <w:r>
          <w:rPr>
            <w:rStyle w:val="Hypertextovprepojenie"/>
          </w:rPr>
          <w:t>toc</w:t>
        </w:r>
        <w:proofErr w:type="spellEnd"/>
      </w:hyperlink>
    </w:p>
    <w:p w:rsidR="00E61DA1" w:rsidRDefault="00387001">
      <w:pPr>
        <w:spacing w:after="300"/>
      </w:pPr>
      <w:r>
        <w:t> </w:t>
      </w:r>
    </w:p>
    <w:p w:rsidR="00E61DA1" w:rsidRDefault="0028750A">
      <w:pPr>
        <w:ind w:left="15" w:right="15"/>
        <w:rPr>
          <w:color w:val="808080"/>
        </w:rPr>
      </w:pPr>
      <w:r>
        <w:rPr>
          <w:noProof/>
        </w:rPr>
        <w:pict>
          <v:rect id="_x0000_i1041" alt="" style="width:525.5pt;height:.05pt;mso-width-percent:0;mso-height-percent:0;mso-width-percent:0;mso-height-percent:0" o:hralign="center" o:hrstd="t" o:hr="t" fillcolor="gray" stroked="f">
            <v:path strokeok="f"/>
          </v:rect>
        </w:pict>
      </w:r>
    </w:p>
    <w:tbl>
      <w:tblPr>
        <w:tblW w:w="10350" w:type="dxa"/>
        <w:jc w:val="center"/>
        <w:tblCellSpacing w:w="0" w:type="dxa"/>
        <w:tblCellMar>
          <w:left w:w="0" w:type="dxa"/>
          <w:right w:w="0" w:type="dxa"/>
        </w:tblCellMar>
        <w:tblLook w:val="04A0" w:firstRow="1" w:lastRow="0" w:firstColumn="1" w:lastColumn="0" w:noHBand="0" w:noVBand="1"/>
      </w:tblPr>
      <w:tblGrid>
        <w:gridCol w:w="10339"/>
        <w:gridCol w:w="11"/>
      </w:tblGrid>
      <w:tr w:rsidR="00E61DA1">
        <w:trPr>
          <w:tblCellSpacing w:w="0" w:type="dxa"/>
          <w:jc w:val="center"/>
        </w:trPr>
        <w:tc>
          <w:tcPr>
            <w:tcW w:w="0" w:type="auto"/>
            <w:tcMar>
              <w:top w:w="675" w:type="dxa"/>
              <w:left w:w="75" w:type="dxa"/>
              <w:bottom w:w="375" w:type="dxa"/>
              <w:right w:w="75" w:type="dxa"/>
            </w:tcMar>
            <w:vAlign w:val="center"/>
          </w:tcPr>
          <w:p w:rsidR="00E61DA1" w:rsidRDefault="00387001">
            <w:pPr>
              <w:jc w:val="center"/>
            </w:pPr>
            <w:r>
              <w:rPr>
                <w:noProof/>
              </w:rPr>
              <w:drawing>
                <wp:inline distT="0" distB="0" distL="0" distR="0">
                  <wp:extent cx="3409950" cy="2971800"/>
                  <wp:effectExtent l="0" t="0" r="0" b="0"/>
                  <wp:docPr id="100014" name="Obrázok 100014"/>
                  <wp:cNvGraphicFramePr/>
                  <a:graphic xmlns:a="http://schemas.openxmlformats.org/drawingml/2006/main">
                    <a:graphicData uri="http://schemas.openxmlformats.org/drawingml/2006/picture">
                      <pic:pic xmlns:pic="http://schemas.openxmlformats.org/drawingml/2006/picture">
                        <pic:nvPicPr>
                          <pic:cNvPr id="1917522231" name=""/>
                          <pic:cNvPicPr/>
                        </pic:nvPicPr>
                        <pic:blipFill>
                          <a:blip r:embed="rId12"/>
                          <a:stretch>
                            <a:fillRect/>
                          </a:stretch>
                        </pic:blipFill>
                        <pic:spPr>
                          <a:xfrm>
                            <a:off x="0" y="0"/>
                            <a:ext cx="3409950" cy="2971800"/>
                          </a:xfrm>
                          <a:prstGeom prst="rect">
                            <a:avLst/>
                          </a:prstGeom>
                        </pic:spPr>
                      </pic:pic>
                    </a:graphicData>
                  </a:graphic>
                </wp:inline>
              </w:drawing>
            </w:r>
          </w:p>
        </w:tc>
        <w:tc>
          <w:tcPr>
            <w:tcW w:w="0" w:type="auto"/>
            <w:vAlign w:val="center"/>
          </w:tcPr>
          <w:p w:rsidR="00E61DA1" w:rsidRDefault="00E61DA1"/>
        </w:tc>
      </w:tr>
      <w:tr w:rsidR="00E61DA1">
        <w:trPr>
          <w:tblCellSpacing w:w="0" w:type="dxa"/>
          <w:jc w:val="center"/>
        </w:trPr>
        <w:tc>
          <w:tcPr>
            <w:tcW w:w="0" w:type="auto"/>
            <w:gridSpan w:val="2"/>
            <w:tcMar>
              <w:top w:w="0" w:type="dxa"/>
              <w:left w:w="0" w:type="dxa"/>
              <w:bottom w:w="0" w:type="dxa"/>
              <w:right w:w="0" w:type="dxa"/>
            </w:tcMar>
            <w:vAlign w:val="center"/>
          </w:tcPr>
          <w:p w:rsidR="00E61DA1" w:rsidRDefault="0028750A">
            <w:pPr>
              <w:rPr>
                <w:sz w:val="16"/>
                <w:szCs w:val="16"/>
              </w:rPr>
            </w:pPr>
            <w:hyperlink w:anchor="TableOfContent" w:history="1">
              <w:r w:rsidR="00387001">
                <w:rPr>
                  <w:color w:val="00A4DF"/>
                  <w:sz w:val="21"/>
                  <w:szCs w:val="21"/>
                  <w:u w:val="single" w:color="00A4DF"/>
                </w:rPr>
                <w:t>Späť</w:t>
              </w:r>
            </w:hyperlink>
          </w:p>
        </w:tc>
      </w:tr>
    </w:tbl>
    <w:p w:rsidR="00E61DA1" w:rsidRDefault="0028750A">
      <w:pPr>
        <w:pStyle w:val="Nadpis2"/>
        <w:keepNext w:val="0"/>
        <w:spacing w:before="224" w:after="224"/>
        <w:rPr>
          <w:sz w:val="27"/>
          <w:szCs w:val="27"/>
        </w:rPr>
      </w:pPr>
      <w:hyperlink w:anchor="TableOfContent__xi16__OPSK19CA1115" w:history="1">
        <w:r w:rsidR="00387001">
          <w:rPr>
            <w:rFonts w:ascii="Arial" w:eastAsia="Arial" w:hAnsi="Arial" w:cs="Arial"/>
            <w:iCs w:val="0"/>
            <w:color w:val="303030"/>
            <w:sz w:val="32"/>
            <w:szCs w:val="32"/>
            <w:u w:val="single" w:color="303030"/>
          </w:rPr>
          <w:t xml:space="preserve">V systéme duálneho vzdelávania je certifikovaných 14 pekární </w:t>
        </w:r>
        <w:bookmarkStart w:id="14" w:name="Article__xi16__OPSK19CA1115"/>
      </w:hyperlink>
      <w:bookmarkEnd w:id="14"/>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816"/>
        <w:gridCol w:w="9724"/>
      </w:tblGrid>
      <w:tr w:rsidR="00E61DA1">
        <w:trPr>
          <w:tblCellSpacing w:w="15" w:type="dxa"/>
        </w:trPr>
        <w:tc>
          <w:tcPr>
            <w:tcW w:w="0" w:type="auto"/>
            <w:tcMar>
              <w:top w:w="15" w:type="dxa"/>
              <w:left w:w="15" w:type="dxa"/>
              <w:bottom w:w="15" w:type="dxa"/>
              <w:right w:w="15" w:type="dxa"/>
            </w:tcMar>
            <w:vAlign w:val="center"/>
          </w:tcPr>
          <w:p w:rsidR="00E61DA1" w:rsidRDefault="00387001">
            <w:r>
              <w:rPr>
                <w:b/>
                <w:bCs/>
              </w:rPr>
              <w:lastRenderedPageBreak/>
              <w:t>Dátum:</w:t>
            </w:r>
          </w:p>
        </w:tc>
        <w:tc>
          <w:tcPr>
            <w:tcW w:w="5000" w:type="pct"/>
            <w:tcMar>
              <w:top w:w="15" w:type="dxa"/>
              <w:left w:w="15" w:type="dxa"/>
              <w:bottom w:w="15" w:type="dxa"/>
              <w:right w:w="15" w:type="dxa"/>
            </w:tcMar>
            <w:vAlign w:val="center"/>
          </w:tcPr>
          <w:p w:rsidR="00E61DA1" w:rsidRDefault="00387001">
            <w:r>
              <w:t>01.07.2019</w:t>
            </w:r>
          </w:p>
        </w:tc>
      </w:tr>
      <w:tr w:rsidR="00E61DA1">
        <w:trPr>
          <w:tblCellSpacing w:w="15" w:type="dxa"/>
        </w:trPr>
        <w:tc>
          <w:tcPr>
            <w:tcW w:w="0" w:type="auto"/>
            <w:tcMar>
              <w:top w:w="15" w:type="dxa"/>
              <w:left w:w="15" w:type="dxa"/>
              <w:bottom w:w="15" w:type="dxa"/>
              <w:right w:w="15" w:type="dxa"/>
            </w:tcMar>
            <w:vAlign w:val="center"/>
          </w:tcPr>
          <w:p w:rsidR="00E61DA1" w:rsidRDefault="00387001">
            <w:r>
              <w:rPr>
                <w:b/>
                <w:bCs/>
              </w:rPr>
              <w:t>Zdroj:</w:t>
            </w:r>
          </w:p>
        </w:tc>
        <w:tc>
          <w:tcPr>
            <w:tcW w:w="0" w:type="auto"/>
            <w:tcMar>
              <w:top w:w="15" w:type="dxa"/>
              <w:left w:w="15" w:type="dxa"/>
              <w:bottom w:w="15" w:type="dxa"/>
              <w:right w:w="15" w:type="dxa"/>
            </w:tcMar>
            <w:vAlign w:val="center"/>
          </w:tcPr>
          <w:p w:rsidR="00E61DA1" w:rsidRDefault="00387001">
            <w:r>
              <w:t xml:space="preserve">rno.sk </w:t>
            </w:r>
          </w:p>
        </w:tc>
      </w:tr>
      <w:tr w:rsidR="00E61DA1">
        <w:trPr>
          <w:tblCellSpacing w:w="15" w:type="dxa"/>
        </w:trPr>
        <w:tc>
          <w:tcPr>
            <w:tcW w:w="0" w:type="auto"/>
            <w:tcMar>
              <w:top w:w="15" w:type="dxa"/>
              <w:left w:w="15" w:type="dxa"/>
              <w:bottom w:w="15" w:type="dxa"/>
              <w:right w:w="15" w:type="dxa"/>
            </w:tcMar>
            <w:vAlign w:val="center"/>
          </w:tcPr>
          <w:p w:rsidR="00E61DA1" w:rsidRDefault="00387001">
            <w:r>
              <w:rPr>
                <w:b/>
                <w:bCs/>
              </w:rPr>
              <w:t>Strana:</w:t>
            </w:r>
          </w:p>
        </w:tc>
        <w:tc>
          <w:tcPr>
            <w:tcW w:w="0" w:type="auto"/>
            <w:tcMar>
              <w:top w:w="15" w:type="dxa"/>
              <w:left w:w="15" w:type="dxa"/>
              <w:bottom w:w="15" w:type="dxa"/>
              <w:right w:w="15" w:type="dxa"/>
            </w:tcMar>
            <w:vAlign w:val="center"/>
          </w:tcPr>
          <w:p w:rsidR="00E61DA1" w:rsidRDefault="00E61DA1"/>
        </w:tc>
      </w:tr>
      <w:tr w:rsidR="00E61DA1">
        <w:trPr>
          <w:tblCellSpacing w:w="15" w:type="dxa"/>
        </w:trPr>
        <w:tc>
          <w:tcPr>
            <w:tcW w:w="0" w:type="auto"/>
            <w:tcMar>
              <w:top w:w="15" w:type="dxa"/>
              <w:left w:w="15" w:type="dxa"/>
              <w:bottom w:w="15" w:type="dxa"/>
              <w:right w:w="15" w:type="dxa"/>
            </w:tcMar>
            <w:vAlign w:val="center"/>
          </w:tcPr>
          <w:p w:rsidR="00E61DA1" w:rsidRDefault="00387001">
            <w:r>
              <w:rPr>
                <w:b/>
                <w:bCs/>
              </w:rPr>
              <w:t>Originál:</w:t>
            </w:r>
          </w:p>
        </w:tc>
        <w:tc>
          <w:tcPr>
            <w:tcW w:w="0" w:type="auto"/>
            <w:tcMar>
              <w:top w:w="15" w:type="dxa"/>
              <w:left w:w="15" w:type="dxa"/>
              <w:bottom w:w="15" w:type="dxa"/>
              <w:right w:w="15" w:type="dxa"/>
            </w:tcMar>
            <w:vAlign w:val="center"/>
          </w:tcPr>
          <w:p w:rsidR="00E61DA1" w:rsidRDefault="0028750A">
            <w:hyperlink r:id="rId13" w:history="1">
              <w:r w:rsidR="00387001">
                <w:rPr>
                  <w:rStyle w:val="link-url"/>
                </w:rPr>
                <w:t>URL</w:t>
              </w:r>
            </w:hyperlink>
            <w:r w:rsidR="00387001">
              <w:t> </w:t>
            </w:r>
          </w:p>
        </w:tc>
      </w:tr>
    </w:tbl>
    <w:p w:rsidR="00E61DA1" w:rsidRDefault="0028750A">
      <w:pPr>
        <w:ind w:left="15" w:right="15"/>
        <w:rPr>
          <w:color w:val="808080"/>
        </w:rPr>
      </w:pPr>
      <w:r>
        <w:rPr>
          <w:noProof/>
        </w:rPr>
        <w:pict>
          <v:rect id="_x0000_i1040" alt="" style="width:525.5pt;height:.05pt;mso-width-percent:0;mso-height-percent:0;mso-width-percent:0;mso-height-percent:0" o:hralign="center" o:hrstd="t" o:hr="t" fillcolor="gray" stroked="f">
            <v:path strokeok="f"/>
          </v:rect>
        </w:pict>
      </w:r>
    </w:p>
    <w:p w:rsidR="00E61DA1" w:rsidRDefault="00387001">
      <w:r>
        <w:t xml:space="preserve">Malvína </w:t>
      </w:r>
      <w:proofErr w:type="spellStart"/>
      <w:r>
        <w:t>Gondová</w:t>
      </w:r>
      <w:proofErr w:type="spellEnd"/>
      <w:r>
        <w:t xml:space="preserve"> </w:t>
      </w:r>
    </w:p>
    <w:p w:rsidR="00E61DA1" w:rsidRDefault="00387001">
      <w:pPr>
        <w:spacing w:before="180" w:after="180"/>
      </w:pPr>
      <w:r>
        <w:t xml:space="preserve">V systéme duálneho vzdelávania je registrovaných a certifikovaných 14 pekární z celého Slovenska, ktoré sú oprávnené ho poskytovať. Médiá o tom v piatok informoval mediálny zástupca </w:t>
      </w:r>
      <w:r>
        <w:rPr>
          <w:shd w:val="clear" w:color="auto" w:fill="AD80FF"/>
        </w:rPr>
        <w:t>Slovenského</w:t>
      </w:r>
      <w:r>
        <w:t xml:space="preserve"> </w:t>
      </w:r>
      <w:r>
        <w:rPr>
          <w:shd w:val="clear" w:color="auto" w:fill="AD80FF"/>
        </w:rPr>
        <w:t>zväzu</w:t>
      </w:r>
      <w:r>
        <w:t xml:space="preserve"> </w:t>
      </w:r>
      <w:r>
        <w:rPr>
          <w:shd w:val="clear" w:color="auto" w:fill="AD80FF"/>
        </w:rPr>
        <w:t>pekárov</w:t>
      </w:r>
      <w:r>
        <w:t xml:space="preserve">, </w:t>
      </w:r>
      <w:r>
        <w:rPr>
          <w:shd w:val="clear" w:color="auto" w:fill="AD80FF"/>
        </w:rPr>
        <w:t>cukrárov</w:t>
      </w:r>
      <w:r>
        <w:t xml:space="preserve"> </w:t>
      </w:r>
      <w:r>
        <w:rPr>
          <w:shd w:val="clear" w:color="auto" w:fill="AD80FF"/>
        </w:rPr>
        <w:t>a</w:t>
      </w:r>
      <w:r>
        <w:t xml:space="preserve"> </w:t>
      </w:r>
      <w:proofErr w:type="spellStart"/>
      <w:r>
        <w:rPr>
          <w:shd w:val="clear" w:color="auto" w:fill="AD80FF"/>
        </w:rPr>
        <w:t>cestovinárov</w:t>
      </w:r>
      <w:proofErr w:type="spellEnd"/>
      <w:r>
        <w:t xml:space="preserve">. </w:t>
      </w:r>
      <w:r>
        <w:br/>
      </w:r>
      <w:r>
        <w:br/>
        <w:t xml:space="preserve">Podľa zväzu a Slovenskej potravinovej a priemyselnej komory (SPPK), ktorá zbiera prihlášky a následne udeľuje certifikáciu pre duálne vzdelávanie, bude záujem pravdepodobne ďalej narastať. Dôvodom je akútny nedostatok ľudí, ktorí by mali záujem o prácu v </w:t>
      </w:r>
      <w:proofErr w:type="spellStart"/>
      <w:r>
        <w:t>pekárenstve</w:t>
      </w:r>
      <w:proofErr w:type="spellEnd"/>
      <w:r>
        <w:t xml:space="preserve">. Odbor pekár skončilo v posledných rokoch len pár desiatok žiakov, pričom pekárne už od roku 2015 vyhlasujú, že v celom odbore chýba 2000 ľudí. </w:t>
      </w:r>
      <w:r>
        <w:br/>
        <w:t xml:space="preserve">„V posledných rokoch pekárne evidujú obrovský pokles záujmu mladých ľudí o štúdium </w:t>
      </w:r>
      <w:proofErr w:type="spellStart"/>
      <w:r>
        <w:t>pekárenstva</w:t>
      </w:r>
      <w:proofErr w:type="spellEnd"/>
      <w:r>
        <w:t xml:space="preserve">. Súvisí to aj s nízkymi mzdami v odvetví. Avšak platí pravidlo, že vzdelávanie žiakov priamo v spoločnostiach zaisťuje vysokú úroveň kvalifikácie pracovníkov danej firmy,“ uviedla predsedníčka zväzu </w:t>
      </w:r>
      <w:r>
        <w:rPr>
          <w:shd w:val="clear" w:color="auto" w:fill="AD80FF"/>
        </w:rPr>
        <w:t>Tatiana</w:t>
      </w:r>
      <w:r>
        <w:t xml:space="preserve"> </w:t>
      </w:r>
      <w:r>
        <w:rPr>
          <w:shd w:val="clear" w:color="auto" w:fill="AD80FF"/>
        </w:rPr>
        <w:t>Lopúchová</w:t>
      </w:r>
      <w:r>
        <w:t xml:space="preserve">. Podľa nej z toho vyplýva, že tá spoločnosť, ktorá vzdelávanie poskytuje, udržuje krok s technologickými inováciami. Produktivita práce technika, ktorý pracuje so žiakom, sa zvyšuje o 10 až 20 %. </w:t>
      </w:r>
      <w:r>
        <w:br/>
        <w:t xml:space="preserve">Podľa aktuálnych dát bolo na Slovensku certifikovaných 8 pekární, z toho väčšina v rokoch 2015 až 2017. V tomto roku získalo certifikát ďalších 6 pekární, pričom SPPK eviduje ešte dve žiadosti o zapojenie sa do systému duálneho vzdelávania. „Pekárom sme vysvetlili, ako systém funguje, aké podmienky a výhody môžu zamestnávatelia získať. Preto očakávame, že záujem prejavia viaceré firmy,“ avizuje </w:t>
      </w:r>
      <w:r>
        <w:rPr>
          <w:shd w:val="clear" w:color="auto" w:fill="AD80FF"/>
        </w:rPr>
        <w:t>Lopúchová</w:t>
      </w:r>
      <w:r>
        <w:t xml:space="preserve">. </w:t>
      </w:r>
      <w:r>
        <w:br/>
        <w:t>(</w:t>
      </w:r>
      <w:proofErr w:type="spellStart"/>
      <w:r>
        <w:t>tasr</w:t>
      </w:r>
      <w:proofErr w:type="spellEnd"/>
      <w:r>
        <w:t>)</w:t>
      </w:r>
      <w:proofErr w:type="spellStart"/>
      <w:r>
        <w:fldChar w:fldCharType="begin"/>
      </w:r>
      <w:r>
        <w:instrText xml:space="preserve"> HYPERLINK \l "toc" </w:instrText>
      </w:r>
      <w:r>
        <w:fldChar w:fldCharType="separate"/>
      </w:r>
      <w:r>
        <w:rPr>
          <w:rStyle w:val="Hypertextovprepojenie"/>
        </w:rPr>
        <w:t>toc</w:t>
      </w:r>
      <w:proofErr w:type="spellEnd"/>
      <w:r>
        <w:fldChar w:fldCharType="end"/>
      </w:r>
    </w:p>
    <w:p w:rsidR="00E61DA1" w:rsidRDefault="00387001">
      <w:pPr>
        <w:spacing w:after="300"/>
      </w:pPr>
      <w:r>
        <w:t> </w:t>
      </w:r>
    </w:p>
    <w:p w:rsidR="00E61DA1" w:rsidRDefault="0028750A">
      <w:pPr>
        <w:ind w:left="15" w:right="15"/>
        <w:rPr>
          <w:color w:val="808080"/>
        </w:rPr>
      </w:pPr>
      <w:r>
        <w:rPr>
          <w:noProof/>
        </w:rPr>
        <w:pict>
          <v:rect id="_x0000_i1039" alt="" style="width:525.5pt;height:.05pt;mso-width-percent:0;mso-height-percent:0;mso-width-percent:0;mso-height-percent:0" o:hralign="center" o:hrstd="t" o:hr="t" fillcolor="gray" stroked="f">
            <v:path strokeok="f"/>
          </v:rect>
        </w:pict>
      </w:r>
    </w:p>
    <w:tbl>
      <w:tblPr>
        <w:tblW w:w="10350" w:type="dxa"/>
        <w:jc w:val="center"/>
        <w:tblCellSpacing w:w="0" w:type="dxa"/>
        <w:tblCellMar>
          <w:left w:w="0" w:type="dxa"/>
          <w:right w:w="0" w:type="dxa"/>
        </w:tblCellMar>
        <w:tblLook w:val="04A0" w:firstRow="1" w:lastRow="0" w:firstColumn="1" w:lastColumn="0" w:noHBand="0" w:noVBand="1"/>
      </w:tblPr>
      <w:tblGrid>
        <w:gridCol w:w="10343"/>
        <w:gridCol w:w="7"/>
      </w:tblGrid>
      <w:tr w:rsidR="00E61DA1">
        <w:trPr>
          <w:tblCellSpacing w:w="0" w:type="dxa"/>
          <w:jc w:val="center"/>
        </w:trPr>
        <w:tc>
          <w:tcPr>
            <w:tcW w:w="0" w:type="auto"/>
            <w:tcMar>
              <w:top w:w="675" w:type="dxa"/>
              <w:left w:w="75" w:type="dxa"/>
              <w:bottom w:w="375" w:type="dxa"/>
              <w:right w:w="75" w:type="dxa"/>
            </w:tcMar>
            <w:vAlign w:val="center"/>
          </w:tcPr>
          <w:p w:rsidR="00E61DA1" w:rsidRDefault="00387001">
            <w:pPr>
              <w:jc w:val="center"/>
            </w:pPr>
            <w:r>
              <w:rPr>
                <w:noProof/>
              </w:rPr>
              <w:lastRenderedPageBreak/>
              <w:drawing>
                <wp:inline distT="0" distB="0" distL="0" distR="0">
                  <wp:extent cx="5440680" cy="7040880"/>
                  <wp:effectExtent l="0" t="0" r="0" b="0"/>
                  <wp:docPr id="100017" name="Obrázok 100017"/>
                  <wp:cNvGraphicFramePr/>
                  <a:graphic xmlns:a="http://schemas.openxmlformats.org/drawingml/2006/main">
                    <a:graphicData uri="http://schemas.openxmlformats.org/drawingml/2006/picture">
                      <pic:pic xmlns:pic="http://schemas.openxmlformats.org/drawingml/2006/picture">
                        <pic:nvPicPr>
                          <pic:cNvPr id="779839397" name=""/>
                          <pic:cNvPicPr/>
                        </pic:nvPicPr>
                        <pic:blipFill>
                          <a:blip r:embed="rId14"/>
                          <a:stretch>
                            <a:fillRect/>
                          </a:stretch>
                        </pic:blipFill>
                        <pic:spPr>
                          <a:xfrm>
                            <a:off x="0" y="0"/>
                            <a:ext cx="5440680" cy="7040880"/>
                          </a:xfrm>
                          <a:prstGeom prst="rect">
                            <a:avLst/>
                          </a:prstGeom>
                        </pic:spPr>
                      </pic:pic>
                    </a:graphicData>
                  </a:graphic>
                </wp:inline>
              </w:drawing>
            </w:r>
          </w:p>
        </w:tc>
        <w:tc>
          <w:tcPr>
            <w:tcW w:w="0" w:type="auto"/>
            <w:vAlign w:val="center"/>
          </w:tcPr>
          <w:p w:rsidR="00E61DA1" w:rsidRDefault="00E61DA1"/>
        </w:tc>
      </w:tr>
      <w:tr w:rsidR="00E61DA1">
        <w:trPr>
          <w:tblCellSpacing w:w="0" w:type="dxa"/>
          <w:jc w:val="center"/>
        </w:trPr>
        <w:tc>
          <w:tcPr>
            <w:tcW w:w="0" w:type="auto"/>
            <w:gridSpan w:val="2"/>
            <w:tcMar>
              <w:top w:w="0" w:type="dxa"/>
              <w:left w:w="0" w:type="dxa"/>
              <w:bottom w:w="0" w:type="dxa"/>
              <w:right w:w="0" w:type="dxa"/>
            </w:tcMar>
            <w:vAlign w:val="center"/>
          </w:tcPr>
          <w:p w:rsidR="00E61DA1" w:rsidRDefault="0028750A">
            <w:pPr>
              <w:rPr>
                <w:sz w:val="16"/>
                <w:szCs w:val="16"/>
              </w:rPr>
            </w:pPr>
            <w:hyperlink w:anchor="TableOfContent" w:history="1">
              <w:r w:rsidR="00387001">
                <w:rPr>
                  <w:color w:val="00A4DF"/>
                  <w:sz w:val="21"/>
                  <w:szCs w:val="21"/>
                  <w:u w:val="single" w:color="00A4DF"/>
                </w:rPr>
                <w:t>Späť</w:t>
              </w:r>
            </w:hyperlink>
          </w:p>
        </w:tc>
      </w:tr>
    </w:tbl>
    <w:p w:rsidR="00E61DA1" w:rsidRDefault="0028750A">
      <w:pPr>
        <w:pStyle w:val="Nadpis2"/>
        <w:keepNext w:val="0"/>
        <w:spacing w:before="224" w:after="224"/>
        <w:rPr>
          <w:sz w:val="27"/>
          <w:szCs w:val="27"/>
        </w:rPr>
      </w:pPr>
      <w:hyperlink w:anchor="TableOfContent__xi16__OPSK19C80934" w:history="1">
        <w:r w:rsidR="00387001">
          <w:rPr>
            <w:rFonts w:ascii="Arial" w:eastAsia="Arial" w:hAnsi="Arial" w:cs="Arial"/>
            <w:iCs w:val="0"/>
            <w:color w:val="303030"/>
            <w:sz w:val="32"/>
            <w:szCs w:val="32"/>
            <w:u w:val="single" w:color="303030"/>
          </w:rPr>
          <w:t xml:space="preserve">V systéme duálneho vzdelávania je certifikovaných 14 pekární </w:t>
        </w:r>
        <w:bookmarkStart w:id="15" w:name="Article__xi16__OPSK19C80934"/>
      </w:hyperlink>
      <w:bookmarkEnd w:id="15"/>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816"/>
        <w:gridCol w:w="9724"/>
      </w:tblGrid>
      <w:tr w:rsidR="00E61DA1">
        <w:trPr>
          <w:tblCellSpacing w:w="15" w:type="dxa"/>
        </w:trPr>
        <w:tc>
          <w:tcPr>
            <w:tcW w:w="0" w:type="auto"/>
            <w:tcMar>
              <w:top w:w="15" w:type="dxa"/>
              <w:left w:w="15" w:type="dxa"/>
              <w:bottom w:w="15" w:type="dxa"/>
              <w:right w:w="15" w:type="dxa"/>
            </w:tcMar>
            <w:vAlign w:val="center"/>
          </w:tcPr>
          <w:p w:rsidR="00E61DA1" w:rsidRDefault="00387001">
            <w:r>
              <w:rPr>
                <w:b/>
                <w:bCs/>
              </w:rPr>
              <w:lastRenderedPageBreak/>
              <w:t>Dátum:</w:t>
            </w:r>
          </w:p>
        </w:tc>
        <w:tc>
          <w:tcPr>
            <w:tcW w:w="5000" w:type="pct"/>
            <w:tcMar>
              <w:top w:w="15" w:type="dxa"/>
              <w:left w:w="15" w:type="dxa"/>
              <w:bottom w:w="15" w:type="dxa"/>
              <w:right w:w="15" w:type="dxa"/>
            </w:tcMar>
            <w:vAlign w:val="center"/>
          </w:tcPr>
          <w:p w:rsidR="00E61DA1" w:rsidRDefault="00387001">
            <w:r>
              <w:t>29.06.2019</w:t>
            </w:r>
          </w:p>
        </w:tc>
      </w:tr>
      <w:tr w:rsidR="00E61DA1">
        <w:trPr>
          <w:tblCellSpacing w:w="15" w:type="dxa"/>
        </w:trPr>
        <w:tc>
          <w:tcPr>
            <w:tcW w:w="0" w:type="auto"/>
            <w:tcMar>
              <w:top w:w="15" w:type="dxa"/>
              <w:left w:w="15" w:type="dxa"/>
              <w:bottom w:w="15" w:type="dxa"/>
              <w:right w:w="15" w:type="dxa"/>
            </w:tcMar>
            <w:vAlign w:val="center"/>
          </w:tcPr>
          <w:p w:rsidR="00E61DA1" w:rsidRDefault="00387001">
            <w:r>
              <w:rPr>
                <w:b/>
                <w:bCs/>
              </w:rPr>
              <w:t>Zdroj:</w:t>
            </w:r>
          </w:p>
        </w:tc>
        <w:tc>
          <w:tcPr>
            <w:tcW w:w="0" w:type="auto"/>
            <w:tcMar>
              <w:top w:w="15" w:type="dxa"/>
              <w:left w:w="15" w:type="dxa"/>
              <w:bottom w:w="15" w:type="dxa"/>
              <w:right w:w="15" w:type="dxa"/>
            </w:tcMar>
            <w:vAlign w:val="center"/>
          </w:tcPr>
          <w:p w:rsidR="00E61DA1" w:rsidRDefault="00387001">
            <w:r>
              <w:t xml:space="preserve">dobrenoviny.sk </w:t>
            </w:r>
          </w:p>
        </w:tc>
      </w:tr>
      <w:tr w:rsidR="00E61DA1">
        <w:trPr>
          <w:tblCellSpacing w:w="15" w:type="dxa"/>
        </w:trPr>
        <w:tc>
          <w:tcPr>
            <w:tcW w:w="0" w:type="auto"/>
            <w:tcMar>
              <w:top w:w="15" w:type="dxa"/>
              <w:left w:w="15" w:type="dxa"/>
              <w:bottom w:w="15" w:type="dxa"/>
              <w:right w:w="15" w:type="dxa"/>
            </w:tcMar>
            <w:vAlign w:val="center"/>
          </w:tcPr>
          <w:p w:rsidR="00E61DA1" w:rsidRDefault="00387001">
            <w:r>
              <w:rPr>
                <w:b/>
                <w:bCs/>
              </w:rPr>
              <w:t>Strana:</w:t>
            </w:r>
          </w:p>
        </w:tc>
        <w:tc>
          <w:tcPr>
            <w:tcW w:w="0" w:type="auto"/>
            <w:tcMar>
              <w:top w:w="15" w:type="dxa"/>
              <w:left w:w="15" w:type="dxa"/>
              <w:bottom w:w="15" w:type="dxa"/>
              <w:right w:w="15" w:type="dxa"/>
            </w:tcMar>
            <w:vAlign w:val="center"/>
          </w:tcPr>
          <w:p w:rsidR="00E61DA1" w:rsidRDefault="00E61DA1"/>
        </w:tc>
      </w:tr>
      <w:tr w:rsidR="00E61DA1">
        <w:trPr>
          <w:tblCellSpacing w:w="15" w:type="dxa"/>
        </w:trPr>
        <w:tc>
          <w:tcPr>
            <w:tcW w:w="0" w:type="auto"/>
            <w:tcMar>
              <w:top w:w="15" w:type="dxa"/>
              <w:left w:w="15" w:type="dxa"/>
              <w:bottom w:w="15" w:type="dxa"/>
              <w:right w:w="15" w:type="dxa"/>
            </w:tcMar>
            <w:vAlign w:val="center"/>
          </w:tcPr>
          <w:p w:rsidR="00E61DA1" w:rsidRDefault="00387001">
            <w:r>
              <w:rPr>
                <w:b/>
                <w:bCs/>
              </w:rPr>
              <w:t>Originál:</w:t>
            </w:r>
          </w:p>
        </w:tc>
        <w:tc>
          <w:tcPr>
            <w:tcW w:w="0" w:type="auto"/>
            <w:tcMar>
              <w:top w:w="15" w:type="dxa"/>
              <w:left w:w="15" w:type="dxa"/>
              <w:bottom w:w="15" w:type="dxa"/>
              <w:right w:w="15" w:type="dxa"/>
            </w:tcMar>
            <w:vAlign w:val="center"/>
          </w:tcPr>
          <w:p w:rsidR="00E61DA1" w:rsidRDefault="0028750A">
            <w:hyperlink r:id="rId15" w:history="1">
              <w:r w:rsidR="00387001">
                <w:rPr>
                  <w:rStyle w:val="link-url"/>
                </w:rPr>
                <w:t>URL</w:t>
              </w:r>
            </w:hyperlink>
            <w:r w:rsidR="00387001">
              <w:t> </w:t>
            </w:r>
          </w:p>
        </w:tc>
      </w:tr>
    </w:tbl>
    <w:p w:rsidR="00E61DA1" w:rsidRDefault="0028750A">
      <w:pPr>
        <w:ind w:left="15" w:right="15"/>
        <w:rPr>
          <w:color w:val="808080"/>
        </w:rPr>
      </w:pPr>
      <w:r>
        <w:rPr>
          <w:noProof/>
        </w:rPr>
        <w:pict>
          <v:rect id="_x0000_i1038" alt="" style="width:525.5pt;height:.05pt;mso-width-percent:0;mso-height-percent:0;mso-width-percent:0;mso-height-percent:0" o:hralign="center" o:hrstd="t" o:hr="t" fillcolor="gray" stroked="f">
            <v:path strokeok="f"/>
          </v:rect>
        </w:pict>
      </w:r>
    </w:p>
    <w:p w:rsidR="00E61DA1" w:rsidRDefault="00387001">
      <w:pPr>
        <w:spacing w:before="180" w:after="180"/>
      </w:pPr>
      <w:r>
        <w:t xml:space="preserve">Podľa zväzu a Slovenskej potravinovej a priemyselnej komory (SPPK), ktorá zbiera prihlášky a následne udeľuje certifikáciu pre duálne vzdelávanie, bude záujem pravdepodobne ďalej narastať. </w:t>
      </w:r>
      <w:r>
        <w:br/>
      </w:r>
      <w:r>
        <w:br/>
        <w:t xml:space="preserve">Bratislava 28. júna (TASR) – V systéme duálneho vzdelávania je registrovaných a certifikovaných 14 pekární z celého Slovenska, ktoré sú oprávnené ho poskytovať. Médiá o tom v piatok informoval mediálny zástupca </w:t>
      </w:r>
      <w:r>
        <w:rPr>
          <w:shd w:val="clear" w:color="auto" w:fill="AD80FF"/>
        </w:rPr>
        <w:t>Slovenského</w:t>
      </w:r>
      <w:r>
        <w:t xml:space="preserve"> </w:t>
      </w:r>
      <w:r>
        <w:rPr>
          <w:shd w:val="clear" w:color="auto" w:fill="AD80FF"/>
        </w:rPr>
        <w:t>zväzu</w:t>
      </w:r>
      <w:r>
        <w:t xml:space="preserve"> </w:t>
      </w:r>
      <w:r>
        <w:rPr>
          <w:shd w:val="clear" w:color="auto" w:fill="AD80FF"/>
        </w:rPr>
        <w:t>pekárov</w:t>
      </w:r>
      <w:r>
        <w:t xml:space="preserve">, </w:t>
      </w:r>
      <w:r>
        <w:rPr>
          <w:shd w:val="clear" w:color="auto" w:fill="AD80FF"/>
        </w:rPr>
        <w:t>cukrárov</w:t>
      </w:r>
      <w:r>
        <w:t xml:space="preserve"> </w:t>
      </w:r>
      <w:r>
        <w:rPr>
          <w:shd w:val="clear" w:color="auto" w:fill="AD80FF"/>
        </w:rPr>
        <w:t>a</w:t>
      </w:r>
      <w:r>
        <w:t xml:space="preserve"> </w:t>
      </w:r>
      <w:proofErr w:type="spellStart"/>
      <w:r>
        <w:rPr>
          <w:shd w:val="clear" w:color="auto" w:fill="AD80FF"/>
        </w:rPr>
        <w:t>cestovinárov</w:t>
      </w:r>
      <w:proofErr w:type="spellEnd"/>
      <w:r>
        <w:t xml:space="preserve">. </w:t>
      </w:r>
      <w:r>
        <w:br/>
        <w:t xml:space="preserve">Podľa zväzu a Slovenskej potravinovej a priemyselnej komory (SPPK), ktorá zbiera prihlášky a následne udeľuje certifikáciu pre duálne vzdelávanie, bude záujem pravdepodobne ďalej narastať. Dôvodom je akútny nedostatok ľudí, ktorí by mali záujem o prácu v </w:t>
      </w:r>
      <w:proofErr w:type="spellStart"/>
      <w:r>
        <w:t>pekárenstve</w:t>
      </w:r>
      <w:proofErr w:type="spellEnd"/>
      <w:r>
        <w:t xml:space="preserve">. Odbor pekár skončilo v posledných rokoch len pár desiatok žiakov, pričom pekárne už od roku 2015 vyhlasujú, že v celom odbore chýba 2000 ľudí. </w:t>
      </w:r>
      <w:r>
        <w:br/>
        <w:t xml:space="preserve">„V posledných rokoch pekárne evidujú obrovský pokles záujmu mladých ľudí o štúdium </w:t>
      </w:r>
      <w:proofErr w:type="spellStart"/>
      <w:r>
        <w:t>pekárenstva</w:t>
      </w:r>
      <w:proofErr w:type="spellEnd"/>
      <w:r>
        <w:t xml:space="preserve">. Súvisí to aj s nízkymi mzdami v odvetví. Avšak platí pravidlo, že vzdelávanie žiakov priamo v spoločnostiach zaisťuje vysokú úroveň kvalifikácie pracovníkov danej firmy,“ uviedla predsedníčka zväzu </w:t>
      </w:r>
      <w:r>
        <w:rPr>
          <w:shd w:val="clear" w:color="auto" w:fill="AD80FF"/>
        </w:rPr>
        <w:t>Tatiana</w:t>
      </w:r>
      <w:r>
        <w:t xml:space="preserve"> </w:t>
      </w:r>
      <w:r>
        <w:rPr>
          <w:shd w:val="clear" w:color="auto" w:fill="AD80FF"/>
        </w:rPr>
        <w:t>Lopúchová</w:t>
      </w:r>
      <w:r>
        <w:t xml:space="preserve">. Podľa nej z toho vyplýva, že tá spoločnosť, ktorá vzdelávanie poskytuje, udržuje krok s technologickými inováciami. Produktivita práce technika, ktorý pracuje so žiakom, sa zvyšuje o 10 až 20 %. </w:t>
      </w:r>
      <w:r>
        <w:br/>
        <w:t xml:space="preserve">Podľa aktuálnych dát bolo na Slovensku certifikovaných 8 pekární, z toho väčšina v rokoch 2015 až 2017. V tomto roku získalo certifikát ďalších 6 pekární, pričom SPPK eviduje ešte dve žiadosti o zapojenie sa do systému duálneho vzdelávania. „Pekárom sme vysvetlili, ako systém funguje, aké podmienky a výhody môžu zamestnávatelia získať. Preto očakávame, že záujem prejavia viaceré </w:t>
      </w:r>
      <w:proofErr w:type="spellStart"/>
      <w:r>
        <w:t>firmy,"avizuje</w:t>
      </w:r>
      <w:proofErr w:type="spellEnd"/>
      <w:r>
        <w:t xml:space="preserve"> </w:t>
      </w:r>
      <w:proofErr w:type="spellStart"/>
      <w:r>
        <w:rPr>
          <w:shd w:val="clear" w:color="auto" w:fill="AD80FF"/>
        </w:rPr>
        <w:t>Lopúchová</w:t>
      </w:r>
      <w:r>
        <w:t>.</w:t>
      </w:r>
      <w:hyperlink w:anchor="toc" w:history="1">
        <w:r>
          <w:rPr>
            <w:rStyle w:val="Hypertextovprepojenie"/>
          </w:rPr>
          <w:t>toc</w:t>
        </w:r>
        <w:proofErr w:type="spellEnd"/>
      </w:hyperlink>
    </w:p>
    <w:p w:rsidR="00E61DA1" w:rsidRDefault="00387001">
      <w:pPr>
        <w:spacing w:after="300"/>
      </w:pPr>
      <w:r>
        <w:t> </w:t>
      </w:r>
    </w:p>
    <w:p w:rsidR="00E61DA1" w:rsidRDefault="0028750A">
      <w:pPr>
        <w:ind w:left="15" w:right="15"/>
        <w:rPr>
          <w:color w:val="808080"/>
        </w:rPr>
      </w:pPr>
      <w:r>
        <w:rPr>
          <w:noProof/>
        </w:rPr>
        <w:pict>
          <v:rect id="_x0000_i1037" alt="" style="width:525.5pt;height:.05pt;mso-width-percent:0;mso-height-percent:0;mso-width-percent:0;mso-height-percent:0" o:hralign="center" o:hrstd="t" o:hr="t" fillcolor="gray" stroked="f">
            <v:path strokeok="f"/>
          </v:rect>
        </w:pict>
      </w:r>
    </w:p>
    <w:tbl>
      <w:tblPr>
        <w:tblW w:w="10350" w:type="dxa"/>
        <w:jc w:val="center"/>
        <w:tblCellSpacing w:w="0" w:type="dxa"/>
        <w:tblCellMar>
          <w:left w:w="0" w:type="dxa"/>
          <w:right w:w="0" w:type="dxa"/>
        </w:tblCellMar>
        <w:tblLook w:val="04A0" w:firstRow="1" w:lastRow="0" w:firstColumn="1" w:lastColumn="0" w:noHBand="0" w:noVBand="1"/>
      </w:tblPr>
      <w:tblGrid>
        <w:gridCol w:w="10343"/>
        <w:gridCol w:w="7"/>
      </w:tblGrid>
      <w:tr w:rsidR="00E61DA1">
        <w:trPr>
          <w:tblCellSpacing w:w="0" w:type="dxa"/>
          <w:jc w:val="center"/>
        </w:trPr>
        <w:tc>
          <w:tcPr>
            <w:tcW w:w="0" w:type="auto"/>
            <w:tcMar>
              <w:top w:w="675" w:type="dxa"/>
              <w:left w:w="75" w:type="dxa"/>
              <w:bottom w:w="375" w:type="dxa"/>
              <w:right w:w="75" w:type="dxa"/>
            </w:tcMar>
            <w:vAlign w:val="center"/>
          </w:tcPr>
          <w:p w:rsidR="00E61DA1" w:rsidRDefault="00387001">
            <w:pPr>
              <w:jc w:val="center"/>
            </w:pPr>
            <w:r>
              <w:rPr>
                <w:noProof/>
              </w:rPr>
              <w:lastRenderedPageBreak/>
              <w:drawing>
                <wp:inline distT="0" distB="0" distL="0" distR="0">
                  <wp:extent cx="5440680" cy="7040880"/>
                  <wp:effectExtent l="0" t="0" r="0" b="0"/>
                  <wp:docPr id="100020" name="Obrázok 100020"/>
                  <wp:cNvGraphicFramePr/>
                  <a:graphic xmlns:a="http://schemas.openxmlformats.org/drawingml/2006/main">
                    <a:graphicData uri="http://schemas.openxmlformats.org/drawingml/2006/picture">
                      <pic:pic xmlns:pic="http://schemas.openxmlformats.org/drawingml/2006/picture">
                        <pic:nvPicPr>
                          <pic:cNvPr id="1068498251" name=""/>
                          <pic:cNvPicPr/>
                        </pic:nvPicPr>
                        <pic:blipFill>
                          <a:blip r:embed="rId16"/>
                          <a:stretch>
                            <a:fillRect/>
                          </a:stretch>
                        </pic:blipFill>
                        <pic:spPr>
                          <a:xfrm>
                            <a:off x="0" y="0"/>
                            <a:ext cx="5440680" cy="7040880"/>
                          </a:xfrm>
                          <a:prstGeom prst="rect">
                            <a:avLst/>
                          </a:prstGeom>
                        </pic:spPr>
                      </pic:pic>
                    </a:graphicData>
                  </a:graphic>
                </wp:inline>
              </w:drawing>
            </w:r>
          </w:p>
        </w:tc>
        <w:tc>
          <w:tcPr>
            <w:tcW w:w="0" w:type="auto"/>
            <w:vAlign w:val="center"/>
          </w:tcPr>
          <w:p w:rsidR="00E61DA1" w:rsidRDefault="00E61DA1"/>
        </w:tc>
      </w:tr>
      <w:tr w:rsidR="00E61DA1">
        <w:trPr>
          <w:tblCellSpacing w:w="0" w:type="dxa"/>
          <w:jc w:val="center"/>
        </w:trPr>
        <w:tc>
          <w:tcPr>
            <w:tcW w:w="0" w:type="auto"/>
            <w:gridSpan w:val="2"/>
            <w:tcMar>
              <w:top w:w="0" w:type="dxa"/>
              <w:left w:w="0" w:type="dxa"/>
              <w:bottom w:w="0" w:type="dxa"/>
              <w:right w:w="0" w:type="dxa"/>
            </w:tcMar>
            <w:vAlign w:val="center"/>
          </w:tcPr>
          <w:p w:rsidR="00E61DA1" w:rsidRDefault="0028750A">
            <w:pPr>
              <w:rPr>
                <w:sz w:val="16"/>
                <w:szCs w:val="16"/>
              </w:rPr>
            </w:pPr>
            <w:hyperlink w:anchor="TableOfContent" w:history="1">
              <w:r w:rsidR="00387001">
                <w:rPr>
                  <w:color w:val="00A4DF"/>
                  <w:sz w:val="21"/>
                  <w:szCs w:val="21"/>
                  <w:u w:val="single" w:color="00A4DF"/>
                </w:rPr>
                <w:t>Späť</w:t>
              </w:r>
            </w:hyperlink>
          </w:p>
        </w:tc>
      </w:tr>
    </w:tbl>
    <w:p w:rsidR="00E61DA1" w:rsidRDefault="0028750A">
      <w:pPr>
        <w:pStyle w:val="Nadpis2"/>
        <w:keepNext w:val="0"/>
        <w:spacing w:before="224" w:after="224"/>
        <w:rPr>
          <w:sz w:val="27"/>
          <w:szCs w:val="27"/>
        </w:rPr>
      </w:pPr>
      <w:hyperlink w:anchor="TableOfContent__xi16__OPSK19C73774" w:history="1">
        <w:r w:rsidR="00387001">
          <w:rPr>
            <w:rFonts w:ascii="Arial" w:eastAsia="Arial" w:hAnsi="Arial" w:cs="Arial"/>
            <w:iCs w:val="0"/>
            <w:color w:val="303030"/>
            <w:sz w:val="32"/>
            <w:szCs w:val="32"/>
            <w:u w:val="single" w:color="303030"/>
          </w:rPr>
          <w:t xml:space="preserve">V systéme duálneho vzdelávania je certifikovaných 14 pekární </w:t>
        </w:r>
        <w:bookmarkStart w:id="16" w:name="Article__xi16__OPSK19C73774"/>
      </w:hyperlink>
      <w:bookmarkEnd w:id="16"/>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816"/>
        <w:gridCol w:w="9724"/>
      </w:tblGrid>
      <w:tr w:rsidR="00E61DA1">
        <w:trPr>
          <w:tblCellSpacing w:w="15" w:type="dxa"/>
        </w:trPr>
        <w:tc>
          <w:tcPr>
            <w:tcW w:w="0" w:type="auto"/>
            <w:tcMar>
              <w:top w:w="15" w:type="dxa"/>
              <w:left w:w="15" w:type="dxa"/>
              <w:bottom w:w="15" w:type="dxa"/>
              <w:right w:w="15" w:type="dxa"/>
            </w:tcMar>
            <w:vAlign w:val="center"/>
          </w:tcPr>
          <w:p w:rsidR="00E61DA1" w:rsidRDefault="00387001">
            <w:r>
              <w:rPr>
                <w:b/>
                <w:bCs/>
              </w:rPr>
              <w:lastRenderedPageBreak/>
              <w:t>Dátum:</w:t>
            </w:r>
          </w:p>
        </w:tc>
        <w:tc>
          <w:tcPr>
            <w:tcW w:w="5000" w:type="pct"/>
            <w:tcMar>
              <w:top w:w="15" w:type="dxa"/>
              <w:left w:w="15" w:type="dxa"/>
              <w:bottom w:w="15" w:type="dxa"/>
              <w:right w:w="15" w:type="dxa"/>
            </w:tcMar>
            <w:vAlign w:val="center"/>
          </w:tcPr>
          <w:p w:rsidR="00E61DA1" w:rsidRDefault="00387001">
            <w:r>
              <w:t>28.06.2019</w:t>
            </w:r>
          </w:p>
        </w:tc>
      </w:tr>
      <w:tr w:rsidR="00E61DA1">
        <w:trPr>
          <w:tblCellSpacing w:w="15" w:type="dxa"/>
        </w:trPr>
        <w:tc>
          <w:tcPr>
            <w:tcW w:w="0" w:type="auto"/>
            <w:tcMar>
              <w:top w:w="15" w:type="dxa"/>
              <w:left w:w="15" w:type="dxa"/>
              <w:bottom w:w="15" w:type="dxa"/>
              <w:right w:w="15" w:type="dxa"/>
            </w:tcMar>
            <w:vAlign w:val="center"/>
          </w:tcPr>
          <w:p w:rsidR="00E61DA1" w:rsidRDefault="00387001">
            <w:r>
              <w:rPr>
                <w:b/>
                <w:bCs/>
              </w:rPr>
              <w:t>Zdroj:</w:t>
            </w:r>
          </w:p>
        </w:tc>
        <w:tc>
          <w:tcPr>
            <w:tcW w:w="0" w:type="auto"/>
            <w:tcMar>
              <w:top w:w="15" w:type="dxa"/>
              <w:left w:w="15" w:type="dxa"/>
              <w:bottom w:w="15" w:type="dxa"/>
              <w:right w:w="15" w:type="dxa"/>
            </w:tcMar>
            <w:vAlign w:val="center"/>
          </w:tcPr>
          <w:p w:rsidR="00E61DA1" w:rsidRDefault="00387001">
            <w:r>
              <w:t xml:space="preserve">openiazoch.zoznam.sk </w:t>
            </w:r>
          </w:p>
        </w:tc>
      </w:tr>
      <w:tr w:rsidR="00E61DA1">
        <w:trPr>
          <w:tblCellSpacing w:w="15" w:type="dxa"/>
        </w:trPr>
        <w:tc>
          <w:tcPr>
            <w:tcW w:w="0" w:type="auto"/>
            <w:tcMar>
              <w:top w:w="15" w:type="dxa"/>
              <w:left w:w="15" w:type="dxa"/>
              <w:bottom w:w="15" w:type="dxa"/>
              <w:right w:w="15" w:type="dxa"/>
            </w:tcMar>
            <w:vAlign w:val="center"/>
          </w:tcPr>
          <w:p w:rsidR="00E61DA1" w:rsidRDefault="00387001">
            <w:r>
              <w:rPr>
                <w:b/>
                <w:bCs/>
              </w:rPr>
              <w:t>Strana:</w:t>
            </w:r>
          </w:p>
        </w:tc>
        <w:tc>
          <w:tcPr>
            <w:tcW w:w="0" w:type="auto"/>
            <w:tcMar>
              <w:top w:w="15" w:type="dxa"/>
              <w:left w:w="15" w:type="dxa"/>
              <w:bottom w:w="15" w:type="dxa"/>
              <w:right w:w="15" w:type="dxa"/>
            </w:tcMar>
            <w:vAlign w:val="center"/>
          </w:tcPr>
          <w:p w:rsidR="00E61DA1" w:rsidRDefault="00E61DA1"/>
        </w:tc>
      </w:tr>
      <w:tr w:rsidR="00E61DA1">
        <w:trPr>
          <w:tblCellSpacing w:w="15" w:type="dxa"/>
        </w:trPr>
        <w:tc>
          <w:tcPr>
            <w:tcW w:w="0" w:type="auto"/>
            <w:tcMar>
              <w:top w:w="15" w:type="dxa"/>
              <w:left w:w="15" w:type="dxa"/>
              <w:bottom w:w="15" w:type="dxa"/>
              <w:right w:w="15" w:type="dxa"/>
            </w:tcMar>
            <w:vAlign w:val="center"/>
          </w:tcPr>
          <w:p w:rsidR="00E61DA1" w:rsidRDefault="00387001">
            <w:r>
              <w:rPr>
                <w:b/>
                <w:bCs/>
              </w:rPr>
              <w:t>Originál:</w:t>
            </w:r>
          </w:p>
        </w:tc>
        <w:tc>
          <w:tcPr>
            <w:tcW w:w="0" w:type="auto"/>
            <w:tcMar>
              <w:top w:w="15" w:type="dxa"/>
              <w:left w:w="15" w:type="dxa"/>
              <w:bottom w:w="15" w:type="dxa"/>
              <w:right w:w="15" w:type="dxa"/>
            </w:tcMar>
            <w:vAlign w:val="center"/>
          </w:tcPr>
          <w:p w:rsidR="00E61DA1" w:rsidRDefault="0028750A">
            <w:hyperlink r:id="rId17" w:history="1">
              <w:r w:rsidR="00387001">
                <w:rPr>
                  <w:rStyle w:val="link-url"/>
                </w:rPr>
                <w:t>URL</w:t>
              </w:r>
            </w:hyperlink>
            <w:r w:rsidR="00387001">
              <w:t> </w:t>
            </w:r>
          </w:p>
        </w:tc>
      </w:tr>
    </w:tbl>
    <w:p w:rsidR="00E61DA1" w:rsidRDefault="0028750A">
      <w:pPr>
        <w:ind w:left="15" w:right="15"/>
        <w:rPr>
          <w:color w:val="808080"/>
        </w:rPr>
      </w:pPr>
      <w:r>
        <w:rPr>
          <w:noProof/>
        </w:rPr>
        <w:pict>
          <v:rect id="_x0000_i1036" alt="" style="width:525.5pt;height:.05pt;mso-width-percent:0;mso-height-percent:0;mso-width-percent:0;mso-height-percent:0" o:hralign="center" o:hrstd="t" o:hr="t" fillcolor="gray" stroked="f">
            <v:path strokeok="f"/>
          </v:rect>
        </w:pict>
      </w:r>
    </w:p>
    <w:p w:rsidR="00E61DA1" w:rsidRDefault="00387001">
      <w:pPr>
        <w:spacing w:before="180" w:after="180"/>
      </w:pPr>
      <w:r>
        <w:t xml:space="preserve">V systéme duálneho vzdelávania je registrovaných a certifikovaných 14 pekární z celého Slovenska, ktoré sú oprávnené ho poskytovať. </w:t>
      </w:r>
      <w:r>
        <w:br/>
      </w:r>
      <w:r>
        <w:br/>
        <w:t xml:space="preserve">V systéme duálneho vzdelávania je registrovaných a certifikovaných 14 pekární z celého Slovenska, ktoré sú oprávnené ho poskytovať. Médiá o tom v piatok informoval mediálny zástupca </w:t>
      </w:r>
      <w:r>
        <w:rPr>
          <w:shd w:val="clear" w:color="auto" w:fill="AD80FF"/>
        </w:rPr>
        <w:t>Slovenského</w:t>
      </w:r>
      <w:r>
        <w:t xml:space="preserve"> </w:t>
      </w:r>
      <w:r>
        <w:rPr>
          <w:shd w:val="clear" w:color="auto" w:fill="AD80FF"/>
        </w:rPr>
        <w:t>zväzu</w:t>
      </w:r>
      <w:r>
        <w:t xml:space="preserve"> </w:t>
      </w:r>
      <w:r>
        <w:rPr>
          <w:shd w:val="clear" w:color="auto" w:fill="AD80FF"/>
        </w:rPr>
        <w:t>pekárov</w:t>
      </w:r>
      <w:r>
        <w:t xml:space="preserve">, </w:t>
      </w:r>
      <w:r>
        <w:rPr>
          <w:shd w:val="clear" w:color="auto" w:fill="AD80FF"/>
        </w:rPr>
        <w:t>cukrárov</w:t>
      </w:r>
      <w:r>
        <w:t xml:space="preserve"> </w:t>
      </w:r>
      <w:r>
        <w:rPr>
          <w:shd w:val="clear" w:color="auto" w:fill="AD80FF"/>
        </w:rPr>
        <w:t>a</w:t>
      </w:r>
      <w:r>
        <w:t xml:space="preserve"> </w:t>
      </w:r>
      <w:proofErr w:type="spellStart"/>
      <w:r>
        <w:rPr>
          <w:shd w:val="clear" w:color="auto" w:fill="AD80FF"/>
        </w:rPr>
        <w:t>cestovinárov</w:t>
      </w:r>
      <w:proofErr w:type="spellEnd"/>
      <w:r>
        <w:t xml:space="preserve">. </w:t>
      </w:r>
      <w:r>
        <w:br/>
        <w:t xml:space="preserve">Podľa zväzu a Slovenskej potravinovej a priemyselnej komory (SPPK), ktorá zbiera prihlášky a následne udeľuje certifikáciu pre duálne vzdelávanie, bude záujem pravdepodobne ďalej narastať. Dôvodom je akútny nedostatok ľudí, ktorí by mali záujem o prácu v </w:t>
      </w:r>
      <w:proofErr w:type="spellStart"/>
      <w:r>
        <w:t>pekárenstve</w:t>
      </w:r>
      <w:proofErr w:type="spellEnd"/>
      <w:r>
        <w:t xml:space="preserve">. Odbor pekár skončilo v posledných rokoch len pár desiatok žiakov, pričom pekárne už od roku 2015 vyhlasujú, že v celom odbore chýba 2000 ľudí. </w:t>
      </w:r>
      <w:r>
        <w:br/>
        <w:t xml:space="preserve">„V posledných rokoch pekárne evidujú obrovský pokles záujmu mladých ľudí o štúdium </w:t>
      </w:r>
      <w:proofErr w:type="spellStart"/>
      <w:r>
        <w:t>pekárenstva</w:t>
      </w:r>
      <w:proofErr w:type="spellEnd"/>
      <w:r>
        <w:t xml:space="preserve">. Súvisí to aj s nízkymi mzdami v odvetví. Avšak platí pravidlo, že vzdelávanie žiakov priamo v spoločnostiach zaisťuje vysokú úroveň kvalifikácie pracovníkov danej firmy,“ uviedla predsedníčka zväzu </w:t>
      </w:r>
      <w:r>
        <w:rPr>
          <w:shd w:val="clear" w:color="auto" w:fill="AD80FF"/>
        </w:rPr>
        <w:t>Tatiana</w:t>
      </w:r>
      <w:r>
        <w:t xml:space="preserve"> </w:t>
      </w:r>
      <w:r>
        <w:rPr>
          <w:shd w:val="clear" w:color="auto" w:fill="AD80FF"/>
        </w:rPr>
        <w:t>Lopúchová</w:t>
      </w:r>
      <w:r>
        <w:t xml:space="preserve">. Podľa nej z toho vyplýva, že tá spoločnosť, ktorá vzdelávanie poskytuje, udržuje krok s technologickými inováciami. Produktivita práce technika, ktorý pracuje so žiakom, sa zvyšuje o 10 až 20 %. </w:t>
      </w:r>
      <w:r>
        <w:br/>
        <w:t xml:space="preserve">Podľa aktuálnych dát bolo na Slovensku certifikovaných 8 pekární, z toho väčšina v rokoch 2015 až 2017. V tomto roku získalo certifikát ďalších 6 pekární, pričom SPPK eviduje ešte dve žiadosti o zapojenie sa do systému duálneho vzdelávania. „Pekárom sme vysvetlili, ako systém funguje, aké podmienky a výhody môžu zamestnávatelia získať. Preto očakávame, že záujem prejavia viaceré </w:t>
      </w:r>
      <w:proofErr w:type="spellStart"/>
      <w:r>
        <w:t>firmy,"avizuje</w:t>
      </w:r>
      <w:proofErr w:type="spellEnd"/>
      <w:r>
        <w:t xml:space="preserve"> </w:t>
      </w:r>
      <w:proofErr w:type="spellStart"/>
      <w:r>
        <w:rPr>
          <w:shd w:val="clear" w:color="auto" w:fill="AD80FF"/>
        </w:rPr>
        <w:t>Lopúchová</w:t>
      </w:r>
      <w:r>
        <w:t>.</w:t>
      </w:r>
      <w:hyperlink w:anchor="toc" w:history="1">
        <w:r>
          <w:rPr>
            <w:rStyle w:val="Hypertextovprepojenie"/>
          </w:rPr>
          <w:t>toc</w:t>
        </w:r>
        <w:proofErr w:type="spellEnd"/>
      </w:hyperlink>
    </w:p>
    <w:p w:rsidR="00E61DA1" w:rsidRDefault="00387001">
      <w:pPr>
        <w:spacing w:after="300"/>
      </w:pPr>
      <w:r>
        <w:t> </w:t>
      </w:r>
    </w:p>
    <w:p w:rsidR="00E61DA1" w:rsidRDefault="0028750A">
      <w:pPr>
        <w:ind w:left="15" w:right="15"/>
        <w:rPr>
          <w:color w:val="808080"/>
        </w:rPr>
      </w:pPr>
      <w:r>
        <w:rPr>
          <w:noProof/>
        </w:rPr>
        <w:pict>
          <v:rect id="_x0000_i1035" alt="" style="width:525.5pt;height:.05pt;mso-width-percent:0;mso-height-percent:0;mso-width-percent:0;mso-height-percent:0" o:hralign="center" o:hrstd="t" o:hr="t" fillcolor="gray" stroked="f">
            <v:path strokeok="f"/>
          </v:rect>
        </w:pict>
      </w:r>
    </w:p>
    <w:tbl>
      <w:tblPr>
        <w:tblW w:w="10350" w:type="dxa"/>
        <w:jc w:val="center"/>
        <w:tblCellSpacing w:w="0" w:type="dxa"/>
        <w:tblCellMar>
          <w:left w:w="0" w:type="dxa"/>
          <w:right w:w="0" w:type="dxa"/>
        </w:tblCellMar>
        <w:tblLook w:val="04A0" w:firstRow="1" w:lastRow="0" w:firstColumn="1" w:lastColumn="0" w:noHBand="0" w:noVBand="1"/>
      </w:tblPr>
      <w:tblGrid>
        <w:gridCol w:w="10343"/>
        <w:gridCol w:w="7"/>
      </w:tblGrid>
      <w:tr w:rsidR="00E61DA1">
        <w:trPr>
          <w:tblCellSpacing w:w="0" w:type="dxa"/>
          <w:jc w:val="center"/>
        </w:trPr>
        <w:tc>
          <w:tcPr>
            <w:tcW w:w="0" w:type="auto"/>
            <w:tcMar>
              <w:top w:w="675" w:type="dxa"/>
              <w:left w:w="75" w:type="dxa"/>
              <w:bottom w:w="375" w:type="dxa"/>
              <w:right w:w="75" w:type="dxa"/>
            </w:tcMar>
            <w:vAlign w:val="center"/>
          </w:tcPr>
          <w:p w:rsidR="00E61DA1" w:rsidRDefault="00387001">
            <w:pPr>
              <w:jc w:val="center"/>
            </w:pPr>
            <w:r>
              <w:rPr>
                <w:noProof/>
              </w:rPr>
              <w:lastRenderedPageBreak/>
              <w:drawing>
                <wp:inline distT="0" distB="0" distL="0" distR="0">
                  <wp:extent cx="5440680" cy="7040880"/>
                  <wp:effectExtent l="0" t="0" r="0" b="0"/>
                  <wp:docPr id="100023" name="Obrázok 100023"/>
                  <wp:cNvGraphicFramePr/>
                  <a:graphic xmlns:a="http://schemas.openxmlformats.org/drawingml/2006/main">
                    <a:graphicData uri="http://schemas.openxmlformats.org/drawingml/2006/picture">
                      <pic:pic xmlns:pic="http://schemas.openxmlformats.org/drawingml/2006/picture">
                        <pic:nvPicPr>
                          <pic:cNvPr id="255314991" name=""/>
                          <pic:cNvPicPr/>
                        </pic:nvPicPr>
                        <pic:blipFill>
                          <a:blip r:embed="rId18"/>
                          <a:stretch>
                            <a:fillRect/>
                          </a:stretch>
                        </pic:blipFill>
                        <pic:spPr>
                          <a:xfrm>
                            <a:off x="0" y="0"/>
                            <a:ext cx="5440680" cy="7040880"/>
                          </a:xfrm>
                          <a:prstGeom prst="rect">
                            <a:avLst/>
                          </a:prstGeom>
                        </pic:spPr>
                      </pic:pic>
                    </a:graphicData>
                  </a:graphic>
                </wp:inline>
              </w:drawing>
            </w:r>
          </w:p>
        </w:tc>
        <w:tc>
          <w:tcPr>
            <w:tcW w:w="0" w:type="auto"/>
            <w:vAlign w:val="center"/>
          </w:tcPr>
          <w:p w:rsidR="00E61DA1" w:rsidRDefault="00E61DA1"/>
        </w:tc>
      </w:tr>
      <w:tr w:rsidR="00E61DA1">
        <w:trPr>
          <w:tblCellSpacing w:w="0" w:type="dxa"/>
          <w:jc w:val="center"/>
        </w:trPr>
        <w:tc>
          <w:tcPr>
            <w:tcW w:w="0" w:type="auto"/>
            <w:gridSpan w:val="2"/>
            <w:tcMar>
              <w:top w:w="0" w:type="dxa"/>
              <w:left w:w="0" w:type="dxa"/>
              <w:bottom w:w="0" w:type="dxa"/>
              <w:right w:w="0" w:type="dxa"/>
            </w:tcMar>
            <w:vAlign w:val="center"/>
          </w:tcPr>
          <w:p w:rsidR="00E61DA1" w:rsidRDefault="0028750A">
            <w:pPr>
              <w:rPr>
                <w:sz w:val="16"/>
                <w:szCs w:val="16"/>
              </w:rPr>
            </w:pPr>
            <w:hyperlink w:anchor="TableOfContent" w:history="1">
              <w:r w:rsidR="00387001">
                <w:rPr>
                  <w:color w:val="00A4DF"/>
                  <w:sz w:val="21"/>
                  <w:szCs w:val="21"/>
                  <w:u w:val="single" w:color="00A4DF"/>
                </w:rPr>
                <w:t>Späť</w:t>
              </w:r>
            </w:hyperlink>
          </w:p>
        </w:tc>
      </w:tr>
    </w:tbl>
    <w:p w:rsidR="00E61DA1" w:rsidRDefault="0028750A">
      <w:pPr>
        <w:pStyle w:val="Nadpis2"/>
        <w:keepNext w:val="0"/>
        <w:spacing w:before="224" w:after="224"/>
        <w:rPr>
          <w:sz w:val="27"/>
          <w:szCs w:val="27"/>
        </w:rPr>
      </w:pPr>
      <w:hyperlink w:anchor="TableOfContent__xi16__OPSK19C74015" w:history="1">
        <w:r w:rsidR="00387001">
          <w:rPr>
            <w:rFonts w:ascii="Arial" w:eastAsia="Arial" w:hAnsi="Arial" w:cs="Arial"/>
            <w:iCs w:val="0"/>
            <w:color w:val="303030"/>
            <w:sz w:val="32"/>
            <w:szCs w:val="32"/>
            <w:u w:val="single" w:color="303030"/>
          </w:rPr>
          <w:t xml:space="preserve">V systéme duálneho vzdelávania je certifikovaných 14 pekární </w:t>
        </w:r>
        <w:bookmarkStart w:id="17" w:name="Article__xi16__OPSK19C74015"/>
      </w:hyperlink>
      <w:bookmarkEnd w:id="17"/>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816"/>
        <w:gridCol w:w="9724"/>
      </w:tblGrid>
      <w:tr w:rsidR="00E61DA1">
        <w:trPr>
          <w:tblCellSpacing w:w="15" w:type="dxa"/>
        </w:trPr>
        <w:tc>
          <w:tcPr>
            <w:tcW w:w="0" w:type="auto"/>
            <w:tcMar>
              <w:top w:w="15" w:type="dxa"/>
              <w:left w:w="15" w:type="dxa"/>
              <w:bottom w:w="15" w:type="dxa"/>
              <w:right w:w="15" w:type="dxa"/>
            </w:tcMar>
            <w:vAlign w:val="center"/>
          </w:tcPr>
          <w:p w:rsidR="00E61DA1" w:rsidRDefault="00387001">
            <w:r>
              <w:rPr>
                <w:b/>
                <w:bCs/>
              </w:rPr>
              <w:lastRenderedPageBreak/>
              <w:t>Dátum:</w:t>
            </w:r>
          </w:p>
        </w:tc>
        <w:tc>
          <w:tcPr>
            <w:tcW w:w="5000" w:type="pct"/>
            <w:tcMar>
              <w:top w:w="15" w:type="dxa"/>
              <w:left w:w="15" w:type="dxa"/>
              <w:bottom w:w="15" w:type="dxa"/>
              <w:right w:w="15" w:type="dxa"/>
            </w:tcMar>
            <w:vAlign w:val="center"/>
          </w:tcPr>
          <w:p w:rsidR="00E61DA1" w:rsidRDefault="00387001">
            <w:r>
              <w:t>28.06.2019</w:t>
            </w:r>
          </w:p>
        </w:tc>
      </w:tr>
      <w:tr w:rsidR="00E61DA1">
        <w:trPr>
          <w:tblCellSpacing w:w="15" w:type="dxa"/>
        </w:trPr>
        <w:tc>
          <w:tcPr>
            <w:tcW w:w="0" w:type="auto"/>
            <w:tcMar>
              <w:top w:w="15" w:type="dxa"/>
              <w:left w:w="15" w:type="dxa"/>
              <w:bottom w:w="15" w:type="dxa"/>
              <w:right w:w="15" w:type="dxa"/>
            </w:tcMar>
            <w:vAlign w:val="center"/>
          </w:tcPr>
          <w:p w:rsidR="00E61DA1" w:rsidRDefault="00387001">
            <w:r>
              <w:rPr>
                <w:b/>
                <w:bCs/>
              </w:rPr>
              <w:t>Zdroj:</w:t>
            </w:r>
          </w:p>
        </w:tc>
        <w:tc>
          <w:tcPr>
            <w:tcW w:w="0" w:type="auto"/>
            <w:tcMar>
              <w:top w:w="15" w:type="dxa"/>
              <w:left w:w="15" w:type="dxa"/>
              <w:bottom w:w="15" w:type="dxa"/>
              <w:right w:w="15" w:type="dxa"/>
            </w:tcMar>
            <w:vAlign w:val="center"/>
          </w:tcPr>
          <w:p w:rsidR="00E61DA1" w:rsidRDefault="00387001">
            <w:r>
              <w:t xml:space="preserve">24hod.sk </w:t>
            </w:r>
          </w:p>
        </w:tc>
      </w:tr>
      <w:tr w:rsidR="00E61DA1">
        <w:trPr>
          <w:tblCellSpacing w:w="15" w:type="dxa"/>
        </w:trPr>
        <w:tc>
          <w:tcPr>
            <w:tcW w:w="0" w:type="auto"/>
            <w:tcMar>
              <w:top w:w="15" w:type="dxa"/>
              <w:left w:w="15" w:type="dxa"/>
              <w:bottom w:w="15" w:type="dxa"/>
              <w:right w:w="15" w:type="dxa"/>
            </w:tcMar>
            <w:vAlign w:val="center"/>
          </w:tcPr>
          <w:p w:rsidR="00E61DA1" w:rsidRDefault="00387001">
            <w:r>
              <w:rPr>
                <w:b/>
                <w:bCs/>
              </w:rPr>
              <w:t>Strana:</w:t>
            </w:r>
          </w:p>
        </w:tc>
        <w:tc>
          <w:tcPr>
            <w:tcW w:w="0" w:type="auto"/>
            <w:tcMar>
              <w:top w:w="15" w:type="dxa"/>
              <w:left w:w="15" w:type="dxa"/>
              <w:bottom w:w="15" w:type="dxa"/>
              <w:right w:w="15" w:type="dxa"/>
            </w:tcMar>
            <w:vAlign w:val="center"/>
          </w:tcPr>
          <w:p w:rsidR="00E61DA1" w:rsidRDefault="00E61DA1"/>
        </w:tc>
      </w:tr>
      <w:tr w:rsidR="00E61DA1">
        <w:trPr>
          <w:tblCellSpacing w:w="15" w:type="dxa"/>
        </w:trPr>
        <w:tc>
          <w:tcPr>
            <w:tcW w:w="0" w:type="auto"/>
            <w:tcMar>
              <w:top w:w="15" w:type="dxa"/>
              <w:left w:w="15" w:type="dxa"/>
              <w:bottom w:w="15" w:type="dxa"/>
              <w:right w:w="15" w:type="dxa"/>
            </w:tcMar>
            <w:vAlign w:val="center"/>
          </w:tcPr>
          <w:p w:rsidR="00E61DA1" w:rsidRDefault="00387001">
            <w:r>
              <w:rPr>
                <w:b/>
                <w:bCs/>
              </w:rPr>
              <w:t>Originál:</w:t>
            </w:r>
          </w:p>
        </w:tc>
        <w:tc>
          <w:tcPr>
            <w:tcW w:w="0" w:type="auto"/>
            <w:tcMar>
              <w:top w:w="15" w:type="dxa"/>
              <w:left w:w="15" w:type="dxa"/>
              <w:bottom w:w="15" w:type="dxa"/>
              <w:right w:w="15" w:type="dxa"/>
            </w:tcMar>
            <w:vAlign w:val="center"/>
          </w:tcPr>
          <w:p w:rsidR="00E61DA1" w:rsidRDefault="0028750A">
            <w:hyperlink r:id="rId19" w:history="1">
              <w:r w:rsidR="00387001">
                <w:rPr>
                  <w:rStyle w:val="link-url"/>
                </w:rPr>
                <w:t>URL</w:t>
              </w:r>
            </w:hyperlink>
            <w:r w:rsidR="00387001">
              <w:t> </w:t>
            </w:r>
          </w:p>
        </w:tc>
      </w:tr>
    </w:tbl>
    <w:p w:rsidR="00E61DA1" w:rsidRDefault="0028750A">
      <w:pPr>
        <w:ind w:left="15" w:right="15"/>
        <w:rPr>
          <w:color w:val="808080"/>
        </w:rPr>
      </w:pPr>
      <w:r>
        <w:rPr>
          <w:noProof/>
        </w:rPr>
        <w:pict>
          <v:rect id="_x0000_i1034" alt="" style="width:525.5pt;height:.05pt;mso-width-percent:0;mso-height-percent:0;mso-width-percent:0;mso-height-percent:0" o:hralign="center" o:hrstd="t" o:hr="t" fillcolor="gray" stroked="f">
            <v:path strokeok="f"/>
          </v:rect>
        </w:pict>
      </w:r>
    </w:p>
    <w:p w:rsidR="00E61DA1" w:rsidRDefault="00387001">
      <w:pPr>
        <w:spacing w:before="180" w:after="180"/>
      </w:pPr>
      <w:r>
        <w:t xml:space="preserve">Ilustračná snímka. </w:t>
      </w:r>
      <w:proofErr w:type="spellStart"/>
      <w:r>
        <w:t>Foto</w:t>
      </w:r>
      <w:proofErr w:type="spellEnd"/>
      <w:r>
        <w:t xml:space="preserve">: TASR/AP Bratislava 28. júna (TASR) – V systéme duálneho vzdelávania je registrovaných a certifikovaných 14 pekární z celého Slovenska, ktoré sú oprávnené ho poskytovať. Médiá o tom v piatok informoval mediálny zástupca </w:t>
      </w:r>
      <w:r>
        <w:rPr>
          <w:shd w:val="clear" w:color="auto" w:fill="AD80FF"/>
        </w:rPr>
        <w:t>Slovenského</w:t>
      </w:r>
      <w:r>
        <w:t xml:space="preserve"> </w:t>
      </w:r>
      <w:r>
        <w:rPr>
          <w:shd w:val="clear" w:color="auto" w:fill="AD80FF"/>
        </w:rPr>
        <w:t>zväzu</w:t>
      </w:r>
      <w:r>
        <w:t xml:space="preserve"> </w:t>
      </w:r>
      <w:r>
        <w:rPr>
          <w:shd w:val="clear" w:color="auto" w:fill="AD80FF"/>
        </w:rPr>
        <w:t>pekárov</w:t>
      </w:r>
      <w:r>
        <w:t xml:space="preserve">, </w:t>
      </w:r>
      <w:r>
        <w:rPr>
          <w:shd w:val="clear" w:color="auto" w:fill="AD80FF"/>
        </w:rPr>
        <w:t>cukrárov</w:t>
      </w:r>
      <w:r>
        <w:t xml:space="preserve"> </w:t>
      </w:r>
      <w:r>
        <w:rPr>
          <w:shd w:val="clear" w:color="auto" w:fill="AD80FF"/>
        </w:rPr>
        <w:t>a</w:t>
      </w:r>
      <w:r>
        <w:t xml:space="preserve"> </w:t>
      </w:r>
      <w:proofErr w:type="spellStart"/>
      <w:r>
        <w:rPr>
          <w:shd w:val="clear" w:color="auto" w:fill="AD80FF"/>
        </w:rPr>
        <w:t>cestovinárov</w:t>
      </w:r>
      <w:proofErr w:type="spellEnd"/>
      <w:r>
        <w:t xml:space="preserve">. </w:t>
      </w:r>
      <w:r>
        <w:br/>
      </w:r>
      <w:r>
        <w:br/>
        <w:t xml:space="preserve">Podľa zväzu a Slovenskej potravinovej a priemyselnej komory (SPPK), ktorá zbiera prihlášky a následne udeľuje certifikáciu pre duálne vzdelávanie, bude záujem pravdepodobne ďalej narastať. Dôvodom je akútny nedostatok ľudí, ktorí by mali záujem o prácu v </w:t>
      </w:r>
      <w:proofErr w:type="spellStart"/>
      <w:r>
        <w:t>pekárenstve</w:t>
      </w:r>
      <w:proofErr w:type="spellEnd"/>
      <w:r>
        <w:t xml:space="preserve">. Odbor pekár skončilo v posledných rokoch len pár desiatok žiakov, pričom pekárne už od roku 2015 vyhlasujú, že v celom odbore chýba 2000 ľudí. </w:t>
      </w:r>
      <w:r>
        <w:br/>
        <w:t xml:space="preserve">„V posledných rokoch pekárne evidujú obrovský pokles záujmu mladých ľudí o štúdium </w:t>
      </w:r>
      <w:proofErr w:type="spellStart"/>
      <w:r>
        <w:t>pekárenstva</w:t>
      </w:r>
      <w:proofErr w:type="spellEnd"/>
      <w:r>
        <w:t xml:space="preserve">. Súvisí to aj s nízkymi mzdami v odvetví. Avšak platí pravidlo, že vzdelávanie žiakov priamo v spoločnostiach zaisťuje vysokú úroveň kvalifikácie pracovníkov danej firmy,“ uviedla predsedníčka zväzu </w:t>
      </w:r>
      <w:r>
        <w:rPr>
          <w:shd w:val="clear" w:color="auto" w:fill="AD80FF"/>
        </w:rPr>
        <w:t>Tatiana</w:t>
      </w:r>
      <w:r>
        <w:t xml:space="preserve"> </w:t>
      </w:r>
      <w:r>
        <w:rPr>
          <w:shd w:val="clear" w:color="auto" w:fill="AD80FF"/>
        </w:rPr>
        <w:t>Lopúchová</w:t>
      </w:r>
      <w:r>
        <w:t xml:space="preserve">. Podľa nej z toho vyplýva, že tá spoločnosť, ktorá vzdelávanie poskytuje, udržuje krok s technologickými inováciami. Produktivita práce technika, ktorý pracuje so žiakom, sa zvyšuje o 10 až 20 %. </w:t>
      </w:r>
      <w:r>
        <w:br/>
        <w:t xml:space="preserve">Podľa aktuálnych dát bolo na Slovensku certifikovaných 8 pekární, z toho väčšina v rokoch 2015 až 2017. V tomto roku získalo certifikát ďalších 6 pekární, pričom SPPK eviduje ešte dve žiadosti o zapojenie sa do systému duálneho vzdelávania. „Pekárom sme vysvetlili, ako systém funguje, aké podmienky a výhody môžu zamestnávatelia získať. Preto očakávame, že záujem prejavia viaceré </w:t>
      </w:r>
      <w:proofErr w:type="spellStart"/>
      <w:r>
        <w:t>firmy,"avizuje</w:t>
      </w:r>
      <w:proofErr w:type="spellEnd"/>
      <w:r>
        <w:t xml:space="preserve"> </w:t>
      </w:r>
      <w:r>
        <w:rPr>
          <w:shd w:val="clear" w:color="auto" w:fill="AD80FF"/>
        </w:rPr>
        <w:t>Lopúchová</w:t>
      </w:r>
      <w:r>
        <w:t xml:space="preserve">. </w:t>
      </w:r>
      <w:r>
        <w:br/>
        <w:t xml:space="preserve">Zdroj:, spravodajský portál tlačovej </w:t>
      </w:r>
      <w:proofErr w:type="spellStart"/>
      <w:r>
        <w:t>agentúry</w:t>
      </w:r>
      <w:hyperlink w:anchor="toc" w:history="1">
        <w:r>
          <w:rPr>
            <w:rStyle w:val="Hypertextovprepojenie"/>
          </w:rPr>
          <w:t>toc</w:t>
        </w:r>
        <w:proofErr w:type="spellEnd"/>
      </w:hyperlink>
    </w:p>
    <w:p w:rsidR="00E61DA1" w:rsidRDefault="00387001">
      <w:pPr>
        <w:spacing w:after="300"/>
      </w:pPr>
      <w:r>
        <w:t> </w:t>
      </w:r>
    </w:p>
    <w:p w:rsidR="00E61DA1" w:rsidRDefault="0028750A">
      <w:pPr>
        <w:ind w:left="15" w:right="15"/>
        <w:rPr>
          <w:color w:val="808080"/>
        </w:rPr>
      </w:pPr>
      <w:r>
        <w:rPr>
          <w:noProof/>
        </w:rPr>
        <w:pict>
          <v:rect id="_x0000_i1033" alt="" style="width:525.5pt;height:.05pt;mso-width-percent:0;mso-height-percent:0;mso-width-percent:0;mso-height-percent:0" o:hralign="center" o:hrstd="t" o:hr="t" fillcolor="gray" stroked="f">
            <v:path strokeok="f"/>
          </v:rect>
        </w:pict>
      </w:r>
    </w:p>
    <w:tbl>
      <w:tblPr>
        <w:tblW w:w="10350" w:type="dxa"/>
        <w:jc w:val="center"/>
        <w:tblCellSpacing w:w="0" w:type="dxa"/>
        <w:tblCellMar>
          <w:left w:w="0" w:type="dxa"/>
          <w:right w:w="0" w:type="dxa"/>
        </w:tblCellMar>
        <w:tblLook w:val="04A0" w:firstRow="1" w:lastRow="0" w:firstColumn="1" w:lastColumn="0" w:noHBand="0" w:noVBand="1"/>
      </w:tblPr>
      <w:tblGrid>
        <w:gridCol w:w="10343"/>
        <w:gridCol w:w="7"/>
      </w:tblGrid>
      <w:tr w:rsidR="00E61DA1">
        <w:trPr>
          <w:tblCellSpacing w:w="0" w:type="dxa"/>
          <w:jc w:val="center"/>
        </w:trPr>
        <w:tc>
          <w:tcPr>
            <w:tcW w:w="0" w:type="auto"/>
            <w:tcMar>
              <w:top w:w="675" w:type="dxa"/>
              <w:left w:w="75" w:type="dxa"/>
              <w:bottom w:w="375" w:type="dxa"/>
              <w:right w:w="75" w:type="dxa"/>
            </w:tcMar>
            <w:vAlign w:val="center"/>
          </w:tcPr>
          <w:p w:rsidR="00E61DA1" w:rsidRDefault="00387001">
            <w:pPr>
              <w:jc w:val="center"/>
            </w:pPr>
            <w:r>
              <w:rPr>
                <w:noProof/>
              </w:rPr>
              <w:lastRenderedPageBreak/>
              <w:drawing>
                <wp:inline distT="0" distB="0" distL="0" distR="0">
                  <wp:extent cx="5440680" cy="7040880"/>
                  <wp:effectExtent l="0" t="0" r="0" b="0"/>
                  <wp:docPr id="100026" name="Obrázok 100026"/>
                  <wp:cNvGraphicFramePr/>
                  <a:graphic xmlns:a="http://schemas.openxmlformats.org/drawingml/2006/main">
                    <a:graphicData uri="http://schemas.openxmlformats.org/drawingml/2006/picture">
                      <pic:pic xmlns:pic="http://schemas.openxmlformats.org/drawingml/2006/picture">
                        <pic:nvPicPr>
                          <pic:cNvPr id="493945544" name=""/>
                          <pic:cNvPicPr/>
                        </pic:nvPicPr>
                        <pic:blipFill>
                          <a:blip r:embed="rId20"/>
                          <a:stretch>
                            <a:fillRect/>
                          </a:stretch>
                        </pic:blipFill>
                        <pic:spPr>
                          <a:xfrm>
                            <a:off x="0" y="0"/>
                            <a:ext cx="5440680" cy="7040880"/>
                          </a:xfrm>
                          <a:prstGeom prst="rect">
                            <a:avLst/>
                          </a:prstGeom>
                        </pic:spPr>
                      </pic:pic>
                    </a:graphicData>
                  </a:graphic>
                </wp:inline>
              </w:drawing>
            </w:r>
          </w:p>
        </w:tc>
        <w:tc>
          <w:tcPr>
            <w:tcW w:w="0" w:type="auto"/>
            <w:vAlign w:val="center"/>
          </w:tcPr>
          <w:p w:rsidR="00E61DA1" w:rsidRDefault="00E61DA1"/>
        </w:tc>
      </w:tr>
      <w:tr w:rsidR="00E61DA1">
        <w:trPr>
          <w:tblCellSpacing w:w="0" w:type="dxa"/>
          <w:jc w:val="center"/>
        </w:trPr>
        <w:tc>
          <w:tcPr>
            <w:tcW w:w="0" w:type="auto"/>
            <w:gridSpan w:val="2"/>
            <w:tcMar>
              <w:top w:w="0" w:type="dxa"/>
              <w:left w:w="0" w:type="dxa"/>
              <w:bottom w:w="0" w:type="dxa"/>
              <w:right w:w="0" w:type="dxa"/>
            </w:tcMar>
            <w:vAlign w:val="center"/>
          </w:tcPr>
          <w:p w:rsidR="00E61DA1" w:rsidRDefault="0028750A">
            <w:pPr>
              <w:rPr>
                <w:sz w:val="16"/>
                <w:szCs w:val="16"/>
              </w:rPr>
            </w:pPr>
            <w:hyperlink w:anchor="TableOfContent" w:history="1">
              <w:r w:rsidR="00387001">
                <w:rPr>
                  <w:color w:val="00A4DF"/>
                  <w:sz w:val="21"/>
                  <w:szCs w:val="21"/>
                  <w:u w:val="single" w:color="00A4DF"/>
                </w:rPr>
                <w:t>Späť</w:t>
              </w:r>
            </w:hyperlink>
          </w:p>
        </w:tc>
      </w:tr>
    </w:tbl>
    <w:p w:rsidR="00E61DA1" w:rsidRDefault="0028750A">
      <w:pPr>
        <w:pStyle w:val="Nadpis2"/>
        <w:keepNext w:val="0"/>
        <w:spacing w:before="224" w:after="224"/>
        <w:rPr>
          <w:sz w:val="27"/>
          <w:szCs w:val="27"/>
        </w:rPr>
      </w:pPr>
      <w:hyperlink w:anchor="TableOfContent__xi16__OPSK19C74005" w:history="1">
        <w:r w:rsidR="00387001">
          <w:rPr>
            <w:rFonts w:ascii="Arial" w:eastAsia="Arial" w:hAnsi="Arial" w:cs="Arial"/>
            <w:iCs w:val="0"/>
            <w:color w:val="303030"/>
            <w:sz w:val="32"/>
            <w:szCs w:val="32"/>
            <w:u w:val="single" w:color="303030"/>
          </w:rPr>
          <w:t xml:space="preserve">V systéme duálneho vzdelávania je certifikovaných 14 pekární </w:t>
        </w:r>
        <w:bookmarkStart w:id="18" w:name="Article__xi16__OPSK19C74005"/>
      </w:hyperlink>
      <w:bookmarkEnd w:id="18"/>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816"/>
        <w:gridCol w:w="9724"/>
      </w:tblGrid>
      <w:tr w:rsidR="00E61DA1">
        <w:trPr>
          <w:tblCellSpacing w:w="15" w:type="dxa"/>
        </w:trPr>
        <w:tc>
          <w:tcPr>
            <w:tcW w:w="0" w:type="auto"/>
            <w:tcMar>
              <w:top w:w="15" w:type="dxa"/>
              <w:left w:w="15" w:type="dxa"/>
              <w:bottom w:w="15" w:type="dxa"/>
              <w:right w:w="15" w:type="dxa"/>
            </w:tcMar>
            <w:vAlign w:val="center"/>
          </w:tcPr>
          <w:p w:rsidR="00E61DA1" w:rsidRDefault="00387001">
            <w:r>
              <w:rPr>
                <w:b/>
                <w:bCs/>
              </w:rPr>
              <w:lastRenderedPageBreak/>
              <w:t>Dátum:</w:t>
            </w:r>
          </w:p>
        </w:tc>
        <w:tc>
          <w:tcPr>
            <w:tcW w:w="5000" w:type="pct"/>
            <w:tcMar>
              <w:top w:w="15" w:type="dxa"/>
              <w:left w:w="15" w:type="dxa"/>
              <w:bottom w:w="15" w:type="dxa"/>
              <w:right w:w="15" w:type="dxa"/>
            </w:tcMar>
            <w:vAlign w:val="center"/>
          </w:tcPr>
          <w:p w:rsidR="00E61DA1" w:rsidRDefault="00387001">
            <w:r>
              <w:t>28.06.2019</w:t>
            </w:r>
          </w:p>
        </w:tc>
      </w:tr>
      <w:tr w:rsidR="00E61DA1">
        <w:trPr>
          <w:tblCellSpacing w:w="15" w:type="dxa"/>
        </w:trPr>
        <w:tc>
          <w:tcPr>
            <w:tcW w:w="0" w:type="auto"/>
            <w:tcMar>
              <w:top w:w="15" w:type="dxa"/>
              <w:left w:w="15" w:type="dxa"/>
              <w:bottom w:w="15" w:type="dxa"/>
              <w:right w:w="15" w:type="dxa"/>
            </w:tcMar>
            <w:vAlign w:val="center"/>
          </w:tcPr>
          <w:p w:rsidR="00E61DA1" w:rsidRDefault="00387001">
            <w:r>
              <w:rPr>
                <w:b/>
                <w:bCs/>
              </w:rPr>
              <w:t>Zdroj:</w:t>
            </w:r>
          </w:p>
        </w:tc>
        <w:tc>
          <w:tcPr>
            <w:tcW w:w="0" w:type="auto"/>
            <w:tcMar>
              <w:top w:w="15" w:type="dxa"/>
              <w:left w:w="15" w:type="dxa"/>
              <w:bottom w:w="15" w:type="dxa"/>
              <w:right w:w="15" w:type="dxa"/>
            </w:tcMar>
            <w:vAlign w:val="center"/>
          </w:tcPr>
          <w:p w:rsidR="00E61DA1" w:rsidRDefault="00387001">
            <w:r>
              <w:t xml:space="preserve">dnesky.sk </w:t>
            </w:r>
          </w:p>
        </w:tc>
      </w:tr>
      <w:tr w:rsidR="00E61DA1">
        <w:trPr>
          <w:tblCellSpacing w:w="15" w:type="dxa"/>
        </w:trPr>
        <w:tc>
          <w:tcPr>
            <w:tcW w:w="0" w:type="auto"/>
            <w:tcMar>
              <w:top w:w="15" w:type="dxa"/>
              <w:left w:w="15" w:type="dxa"/>
              <w:bottom w:w="15" w:type="dxa"/>
              <w:right w:w="15" w:type="dxa"/>
            </w:tcMar>
            <w:vAlign w:val="center"/>
          </w:tcPr>
          <w:p w:rsidR="00E61DA1" w:rsidRDefault="00387001">
            <w:r>
              <w:rPr>
                <w:b/>
                <w:bCs/>
              </w:rPr>
              <w:t>Strana:</w:t>
            </w:r>
          </w:p>
        </w:tc>
        <w:tc>
          <w:tcPr>
            <w:tcW w:w="0" w:type="auto"/>
            <w:tcMar>
              <w:top w:w="15" w:type="dxa"/>
              <w:left w:w="15" w:type="dxa"/>
              <w:bottom w:w="15" w:type="dxa"/>
              <w:right w:w="15" w:type="dxa"/>
            </w:tcMar>
            <w:vAlign w:val="center"/>
          </w:tcPr>
          <w:p w:rsidR="00E61DA1" w:rsidRDefault="00E61DA1"/>
        </w:tc>
      </w:tr>
      <w:tr w:rsidR="00E61DA1">
        <w:trPr>
          <w:tblCellSpacing w:w="15" w:type="dxa"/>
        </w:trPr>
        <w:tc>
          <w:tcPr>
            <w:tcW w:w="0" w:type="auto"/>
            <w:tcMar>
              <w:top w:w="15" w:type="dxa"/>
              <w:left w:w="15" w:type="dxa"/>
              <w:bottom w:w="15" w:type="dxa"/>
              <w:right w:w="15" w:type="dxa"/>
            </w:tcMar>
            <w:vAlign w:val="center"/>
          </w:tcPr>
          <w:p w:rsidR="00E61DA1" w:rsidRDefault="00387001">
            <w:r>
              <w:rPr>
                <w:b/>
                <w:bCs/>
              </w:rPr>
              <w:t>Originál:</w:t>
            </w:r>
          </w:p>
        </w:tc>
        <w:tc>
          <w:tcPr>
            <w:tcW w:w="0" w:type="auto"/>
            <w:tcMar>
              <w:top w:w="15" w:type="dxa"/>
              <w:left w:w="15" w:type="dxa"/>
              <w:bottom w:w="15" w:type="dxa"/>
              <w:right w:w="15" w:type="dxa"/>
            </w:tcMar>
            <w:vAlign w:val="center"/>
          </w:tcPr>
          <w:p w:rsidR="00E61DA1" w:rsidRDefault="0028750A">
            <w:hyperlink r:id="rId21" w:history="1">
              <w:r w:rsidR="00387001">
                <w:rPr>
                  <w:rStyle w:val="link-url"/>
                </w:rPr>
                <w:t>URL</w:t>
              </w:r>
            </w:hyperlink>
            <w:r w:rsidR="00387001">
              <w:t> </w:t>
            </w:r>
          </w:p>
        </w:tc>
      </w:tr>
    </w:tbl>
    <w:p w:rsidR="00E61DA1" w:rsidRDefault="0028750A">
      <w:pPr>
        <w:ind w:left="15" w:right="15"/>
        <w:rPr>
          <w:color w:val="808080"/>
        </w:rPr>
      </w:pPr>
      <w:r>
        <w:rPr>
          <w:noProof/>
        </w:rPr>
        <w:pict>
          <v:rect id="_x0000_i1032" alt="" style="width:525.5pt;height:.05pt;mso-width-percent:0;mso-height-percent:0;mso-width-percent:0;mso-height-percent:0" o:hralign="center" o:hrstd="t" o:hr="t" fillcolor="gray" stroked="f">
            <v:path strokeok="f"/>
          </v:rect>
        </w:pict>
      </w:r>
    </w:p>
    <w:p w:rsidR="00E61DA1" w:rsidRDefault="00387001">
      <w:pPr>
        <w:spacing w:before="180" w:after="180"/>
      </w:pPr>
      <w:r>
        <w:t xml:space="preserve">Podľa zväzu a Slovenskej potravinovej a priemyselnej komory (SPPK), ktorá zbiera prihlášky a následne udeľuje certifikáciu pre duálne vzdelávanie, bude záujem pravdepodobne ďalej narastať. </w:t>
      </w:r>
      <w:r>
        <w:br/>
      </w:r>
      <w:r>
        <w:br/>
        <w:t xml:space="preserve">Bratislava 28. júna (TASR) – V systéme duálneho vzdelávania je registrovaných a certifikovaných 14 pekární z celého Slovenska, ktoré sú oprávnené ho poskytovať. Médiá o tom v piatok informoval mediálny zástupca </w:t>
      </w:r>
      <w:r>
        <w:rPr>
          <w:shd w:val="clear" w:color="auto" w:fill="AD80FF"/>
        </w:rPr>
        <w:t>Slovenského</w:t>
      </w:r>
      <w:r>
        <w:t xml:space="preserve"> </w:t>
      </w:r>
      <w:r>
        <w:rPr>
          <w:shd w:val="clear" w:color="auto" w:fill="AD80FF"/>
        </w:rPr>
        <w:t>zväzu</w:t>
      </w:r>
      <w:r>
        <w:t xml:space="preserve"> </w:t>
      </w:r>
      <w:r>
        <w:rPr>
          <w:shd w:val="clear" w:color="auto" w:fill="AD80FF"/>
        </w:rPr>
        <w:t>pekárov</w:t>
      </w:r>
      <w:r>
        <w:t xml:space="preserve">, </w:t>
      </w:r>
      <w:r>
        <w:rPr>
          <w:shd w:val="clear" w:color="auto" w:fill="AD80FF"/>
        </w:rPr>
        <w:t>cukrárov</w:t>
      </w:r>
      <w:r>
        <w:t xml:space="preserve"> </w:t>
      </w:r>
      <w:r>
        <w:rPr>
          <w:shd w:val="clear" w:color="auto" w:fill="AD80FF"/>
        </w:rPr>
        <w:t>a</w:t>
      </w:r>
      <w:r>
        <w:t xml:space="preserve"> </w:t>
      </w:r>
      <w:proofErr w:type="spellStart"/>
      <w:r>
        <w:rPr>
          <w:shd w:val="clear" w:color="auto" w:fill="AD80FF"/>
        </w:rPr>
        <w:t>cestovinárov</w:t>
      </w:r>
      <w:proofErr w:type="spellEnd"/>
      <w:r>
        <w:t xml:space="preserve">. </w:t>
      </w:r>
      <w:r>
        <w:br/>
        <w:t xml:space="preserve">Podľa zväzu a Slovenskej potravinovej a priemyselnej komory (SPPK), ktorá zbiera prihlášky a následne udeľuje certifikáciu pre duálne vzdelávanie, bude záujem pravdepodobne ďalej narastať. Dôvodom je akútny nedostatok ľudí, ktorí by mali záujem o prácu v </w:t>
      </w:r>
      <w:proofErr w:type="spellStart"/>
      <w:r>
        <w:t>pekárenstve</w:t>
      </w:r>
      <w:proofErr w:type="spellEnd"/>
      <w:r>
        <w:t xml:space="preserve">. Odbor pekár skončilo v posledných rokoch len pár desiatok žiakov, pričom pekárne už od roku 2015 vyhlasujú, že v celom odbore chýba 2000 ľudí. </w:t>
      </w:r>
      <w:r>
        <w:br/>
        <w:t xml:space="preserve">„V posledných rokoch pekárne evidujú obrovský pokles záujmu mladých ľudí o štúdium </w:t>
      </w:r>
      <w:proofErr w:type="spellStart"/>
      <w:r>
        <w:t>pekárenstva</w:t>
      </w:r>
      <w:proofErr w:type="spellEnd"/>
      <w:r>
        <w:t xml:space="preserve">. Súvisí to aj s nízkymi mzdami v odvetví. Avšak platí pravidlo, že vzdelávanie žiakov priamo v spoločnostiach zaisťuje vysokú úroveň kvalifikácie pracovníkov danej firmy,“ uviedla predsedníčka zväzu </w:t>
      </w:r>
      <w:r>
        <w:rPr>
          <w:shd w:val="clear" w:color="auto" w:fill="AD80FF"/>
        </w:rPr>
        <w:t>Tatiana</w:t>
      </w:r>
      <w:r>
        <w:t xml:space="preserve"> </w:t>
      </w:r>
      <w:r>
        <w:rPr>
          <w:shd w:val="clear" w:color="auto" w:fill="AD80FF"/>
        </w:rPr>
        <w:t>Lopúchová</w:t>
      </w:r>
      <w:r>
        <w:t xml:space="preserve">. Podľa nej z toho vyplýva, že tá spoločnosť, ktorá vzdelávanie poskytuje, udržuje krok s technologickými inováciami. Produktivita práce technika, ktorý pracuje so žiakom, sa zvyšuje o 10 až 20 %. </w:t>
      </w:r>
      <w:r>
        <w:br/>
        <w:t xml:space="preserve">Podľa aktuálnych dát bolo na Slovensku certifikovaných 8 pekární, z toho väčšina v rokoch 2015 až 2017. V tomto roku získalo certifikát ďalších 6 pekární, pričom SPPK eviduje ešte dve žiadosti o zapojenie sa do systému duálneho vzdelávania. „Pekárom sme vysvetlili, ako systém funguje, aké podmienky a výhody môžu zamestnávatelia získať. Preto očakávame, že záujem prejavia viaceré firmy,” avizuje </w:t>
      </w:r>
      <w:proofErr w:type="spellStart"/>
      <w:r>
        <w:rPr>
          <w:shd w:val="clear" w:color="auto" w:fill="AD80FF"/>
        </w:rPr>
        <w:t>Lopúchová</w:t>
      </w:r>
      <w:r>
        <w:t>.</w:t>
      </w:r>
      <w:hyperlink w:anchor="toc" w:history="1">
        <w:r>
          <w:rPr>
            <w:rStyle w:val="Hypertextovprepojenie"/>
          </w:rPr>
          <w:t>toc</w:t>
        </w:r>
        <w:proofErr w:type="spellEnd"/>
      </w:hyperlink>
    </w:p>
    <w:p w:rsidR="00E61DA1" w:rsidRDefault="00387001">
      <w:pPr>
        <w:spacing w:after="300"/>
      </w:pPr>
      <w:r>
        <w:t> </w:t>
      </w:r>
    </w:p>
    <w:p w:rsidR="00E61DA1" w:rsidRDefault="0028750A">
      <w:pPr>
        <w:ind w:left="15" w:right="15"/>
        <w:rPr>
          <w:color w:val="808080"/>
        </w:rPr>
      </w:pPr>
      <w:r>
        <w:rPr>
          <w:noProof/>
        </w:rPr>
        <w:pict>
          <v:rect id="_x0000_i1031" alt="" style="width:525.5pt;height:.05pt;mso-width-percent:0;mso-height-percent:0;mso-width-percent:0;mso-height-percent:0" o:hralign="center" o:hrstd="t" o:hr="t" fillcolor="gray" stroked="f">
            <v:path strokeok="f"/>
          </v:rect>
        </w:pict>
      </w:r>
    </w:p>
    <w:tbl>
      <w:tblPr>
        <w:tblW w:w="10350" w:type="dxa"/>
        <w:jc w:val="center"/>
        <w:tblCellSpacing w:w="0" w:type="dxa"/>
        <w:tblCellMar>
          <w:left w:w="0" w:type="dxa"/>
          <w:right w:w="0" w:type="dxa"/>
        </w:tblCellMar>
        <w:tblLook w:val="04A0" w:firstRow="1" w:lastRow="0" w:firstColumn="1" w:lastColumn="0" w:noHBand="0" w:noVBand="1"/>
      </w:tblPr>
      <w:tblGrid>
        <w:gridCol w:w="10343"/>
        <w:gridCol w:w="7"/>
      </w:tblGrid>
      <w:tr w:rsidR="00E61DA1">
        <w:trPr>
          <w:tblCellSpacing w:w="0" w:type="dxa"/>
          <w:jc w:val="center"/>
        </w:trPr>
        <w:tc>
          <w:tcPr>
            <w:tcW w:w="0" w:type="auto"/>
            <w:tcMar>
              <w:top w:w="675" w:type="dxa"/>
              <w:left w:w="75" w:type="dxa"/>
              <w:bottom w:w="375" w:type="dxa"/>
              <w:right w:w="75" w:type="dxa"/>
            </w:tcMar>
            <w:vAlign w:val="center"/>
          </w:tcPr>
          <w:p w:rsidR="00E61DA1" w:rsidRDefault="00387001">
            <w:pPr>
              <w:jc w:val="center"/>
            </w:pPr>
            <w:r>
              <w:rPr>
                <w:noProof/>
              </w:rPr>
              <w:lastRenderedPageBreak/>
              <w:drawing>
                <wp:inline distT="0" distB="0" distL="0" distR="0">
                  <wp:extent cx="5440680" cy="7040880"/>
                  <wp:effectExtent l="0" t="0" r="0" b="0"/>
                  <wp:docPr id="100029" name="Obrázok 100029"/>
                  <wp:cNvGraphicFramePr/>
                  <a:graphic xmlns:a="http://schemas.openxmlformats.org/drawingml/2006/main">
                    <a:graphicData uri="http://schemas.openxmlformats.org/drawingml/2006/picture">
                      <pic:pic xmlns:pic="http://schemas.openxmlformats.org/drawingml/2006/picture">
                        <pic:nvPicPr>
                          <pic:cNvPr id="1488129722" name=""/>
                          <pic:cNvPicPr/>
                        </pic:nvPicPr>
                        <pic:blipFill>
                          <a:blip r:embed="rId22"/>
                          <a:stretch>
                            <a:fillRect/>
                          </a:stretch>
                        </pic:blipFill>
                        <pic:spPr>
                          <a:xfrm>
                            <a:off x="0" y="0"/>
                            <a:ext cx="5440680" cy="7040880"/>
                          </a:xfrm>
                          <a:prstGeom prst="rect">
                            <a:avLst/>
                          </a:prstGeom>
                        </pic:spPr>
                      </pic:pic>
                    </a:graphicData>
                  </a:graphic>
                </wp:inline>
              </w:drawing>
            </w:r>
          </w:p>
        </w:tc>
        <w:tc>
          <w:tcPr>
            <w:tcW w:w="0" w:type="auto"/>
            <w:vAlign w:val="center"/>
          </w:tcPr>
          <w:p w:rsidR="00E61DA1" w:rsidRDefault="00E61DA1"/>
        </w:tc>
      </w:tr>
      <w:tr w:rsidR="00E61DA1">
        <w:trPr>
          <w:tblCellSpacing w:w="0" w:type="dxa"/>
          <w:jc w:val="center"/>
        </w:trPr>
        <w:tc>
          <w:tcPr>
            <w:tcW w:w="0" w:type="auto"/>
            <w:gridSpan w:val="2"/>
            <w:tcMar>
              <w:top w:w="0" w:type="dxa"/>
              <w:left w:w="0" w:type="dxa"/>
              <w:bottom w:w="0" w:type="dxa"/>
              <w:right w:w="0" w:type="dxa"/>
            </w:tcMar>
            <w:vAlign w:val="center"/>
          </w:tcPr>
          <w:p w:rsidR="00E61DA1" w:rsidRDefault="0028750A">
            <w:pPr>
              <w:rPr>
                <w:sz w:val="16"/>
                <w:szCs w:val="16"/>
              </w:rPr>
            </w:pPr>
            <w:hyperlink w:anchor="TableOfContent" w:history="1">
              <w:r w:rsidR="00387001">
                <w:rPr>
                  <w:color w:val="00A4DF"/>
                  <w:sz w:val="21"/>
                  <w:szCs w:val="21"/>
                  <w:u w:val="single" w:color="00A4DF"/>
                </w:rPr>
                <w:t>Späť</w:t>
              </w:r>
            </w:hyperlink>
          </w:p>
        </w:tc>
      </w:tr>
    </w:tbl>
    <w:p w:rsidR="00E61DA1" w:rsidRDefault="0028750A">
      <w:pPr>
        <w:pStyle w:val="Nadpis2"/>
        <w:keepNext w:val="0"/>
        <w:spacing w:before="224" w:after="224"/>
        <w:rPr>
          <w:sz w:val="27"/>
          <w:szCs w:val="27"/>
        </w:rPr>
      </w:pPr>
      <w:hyperlink w:anchor="TableOfContent__xi16__OPSK19C73966" w:history="1">
        <w:r w:rsidR="00387001">
          <w:rPr>
            <w:rFonts w:ascii="Arial" w:eastAsia="Arial" w:hAnsi="Arial" w:cs="Arial"/>
            <w:iCs w:val="0"/>
            <w:color w:val="303030"/>
            <w:sz w:val="32"/>
            <w:szCs w:val="32"/>
            <w:u w:val="single" w:color="303030"/>
          </w:rPr>
          <w:t xml:space="preserve">V systéme duálneho vzdelávania je certifikovaných 14 pekární </w:t>
        </w:r>
        <w:bookmarkStart w:id="19" w:name="Article__xi16__OPSK19C73966"/>
      </w:hyperlink>
      <w:bookmarkEnd w:id="19"/>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816"/>
        <w:gridCol w:w="9724"/>
      </w:tblGrid>
      <w:tr w:rsidR="00E61DA1">
        <w:trPr>
          <w:tblCellSpacing w:w="15" w:type="dxa"/>
        </w:trPr>
        <w:tc>
          <w:tcPr>
            <w:tcW w:w="0" w:type="auto"/>
            <w:tcMar>
              <w:top w:w="15" w:type="dxa"/>
              <w:left w:w="15" w:type="dxa"/>
              <w:bottom w:w="15" w:type="dxa"/>
              <w:right w:w="15" w:type="dxa"/>
            </w:tcMar>
            <w:vAlign w:val="center"/>
          </w:tcPr>
          <w:p w:rsidR="00E61DA1" w:rsidRDefault="00387001">
            <w:r>
              <w:rPr>
                <w:b/>
                <w:bCs/>
              </w:rPr>
              <w:lastRenderedPageBreak/>
              <w:t>Dátum:</w:t>
            </w:r>
          </w:p>
        </w:tc>
        <w:tc>
          <w:tcPr>
            <w:tcW w:w="5000" w:type="pct"/>
            <w:tcMar>
              <w:top w:w="15" w:type="dxa"/>
              <w:left w:w="15" w:type="dxa"/>
              <w:bottom w:w="15" w:type="dxa"/>
              <w:right w:w="15" w:type="dxa"/>
            </w:tcMar>
            <w:vAlign w:val="center"/>
          </w:tcPr>
          <w:p w:rsidR="00E61DA1" w:rsidRDefault="00387001">
            <w:r>
              <w:t>28.06.2019</w:t>
            </w:r>
          </w:p>
        </w:tc>
      </w:tr>
      <w:tr w:rsidR="00E61DA1">
        <w:trPr>
          <w:tblCellSpacing w:w="15" w:type="dxa"/>
        </w:trPr>
        <w:tc>
          <w:tcPr>
            <w:tcW w:w="0" w:type="auto"/>
            <w:tcMar>
              <w:top w:w="15" w:type="dxa"/>
              <w:left w:w="15" w:type="dxa"/>
              <w:bottom w:w="15" w:type="dxa"/>
              <w:right w:w="15" w:type="dxa"/>
            </w:tcMar>
            <w:vAlign w:val="center"/>
          </w:tcPr>
          <w:p w:rsidR="00E61DA1" w:rsidRDefault="00387001">
            <w:r>
              <w:rPr>
                <w:b/>
                <w:bCs/>
              </w:rPr>
              <w:t>Zdroj:</w:t>
            </w:r>
          </w:p>
        </w:tc>
        <w:tc>
          <w:tcPr>
            <w:tcW w:w="0" w:type="auto"/>
            <w:tcMar>
              <w:top w:w="15" w:type="dxa"/>
              <w:left w:w="15" w:type="dxa"/>
              <w:bottom w:w="15" w:type="dxa"/>
              <w:right w:w="15" w:type="dxa"/>
            </w:tcMar>
            <w:vAlign w:val="center"/>
          </w:tcPr>
          <w:p w:rsidR="00E61DA1" w:rsidRDefault="00387001">
            <w:r>
              <w:t xml:space="preserve">teraz.sk </w:t>
            </w:r>
          </w:p>
        </w:tc>
      </w:tr>
      <w:tr w:rsidR="00E61DA1">
        <w:trPr>
          <w:tblCellSpacing w:w="15" w:type="dxa"/>
        </w:trPr>
        <w:tc>
          <w:tcPr>
            <w:tcW w:w="0" w:type="auto"/>
            <w:tcMar>
              <w:top w:w="15" w:type="dxa"/>
              <w:left w:w="15" w:type="dxa"/>
              <w:bottom w:w="15" w:type="dxa"/>
              <w:right w:w="15" w:type="dxa"/>
            </w:tcMar>
            <w:vAlign w:val="center"/>
          </w:tcPr>
          <w:p w:rsidR="00E61DA1" w:rsidRDefault="00387001">
            <w:r>
              <w:rPr>
                <w:b/>
                <w:bCs/>
              </w:rPr>
              <w:t>Strana:</w:t>
            </w:r>
          </w:p>
        </w:tc>
        <w:tc>
          <w:tcPr>
            <w:tcW w:w="0" w:type="auto"/>
            <w:tcMar>
              <w:top w:w="15" w:type="dxa"/>
              <w:left w:w="15" w:type="dxa"/>
              <w:bottom w:w="15" w:type="dxa"/>
              <w:right w:w="15" w:type="dxa"/>
            </w:tcMar>
            <w:vAlign w:val="center"/>
          </w:tcPr>
          <w:p w:rsidR="00E61DA1" w:rsidRDefault="00E61DA1"/>
        </w:tc>
      </w:tr>
      <w:tr w:rsidR="00E61DA1">
        <w:trPr>
          <w:tblCellSpacing w:w="15" w:type="dxa"/>
        </w:trPr>
        <w:tc>
          <w:tcPr>
            <w:tcW w:w="0" w:type="auto"/>
            <w:tcMar>
              <w:top w:w="15" w:type="dxa"/>
              <w:left w:w="15" w:type="dxa"/>
              <w:bottom w:w="15" w:type="dxa"/>
              <w:right w:w="15" w:type="dxa"/>
            </w:tcMar>
            <w:vAlign w:val="center"/>
          </w:tcPr>
          <w:p w:rsidR="00E61DA1" w:rsidRDefault="00387001">
            <w:r>
              <w:rPr>
                <w:b/>
                <w:bCs/>
              </w:rPr>
              <w:t>Originál:</w:t>
            </w:r>
          </w:p>
        </w:tc>
        <w:tc>
          <w:tcPr>
            <w:tcW w:w="0" w:type="auto"/>
            <w:tcMar>
              <w:top w:w="15" w:type="dxa"/>
              <w:left w:w="15" w:type="dxa"/>
              <w:bottom w:w="15" w:type="dxa"/>
              <w:right w:w="15" w:type="dxa"/>
            </w:tcMar>
            <w:vAlign w:val="center"/>
          </w:tcPr>
          <w:p w:rsidR="00E61DA1" w:rsidRDefault="0028750A">
            <w:hyperlink r:id="rId23" w:history="1">
              <w:r w:rsidR="00387001">
                <w:rPr>
                  <w:rStyle w:val="link-url"/>
                </w:rPr>
                <w:t>URL</w:t>
              </w:r>
            </w:hyperlink>
            <w:r w:rsidR="00387001">
              <w:t> </w:t>
            </w:r>
          </w:p>
        </w:tc>
      </w:tr>
    </w:tbl>
    <w:p w:rsidR="00E61DA1" w:rsidRDefault="0028750A">
      <w:pPr>
        <w:ind w:left="15" w:right="15"/>
        <w:rPr>
          <w:color w:val="808080"/>
        </w:rPr>
      </w:pPr>
      <w:r>
        <w:rPr>
          <w:noProof/>
        </w:rPr>
        <w:pict>
          <v:rect id="_x0000_i1030" alt="" style="width:525.5pt;height:.05pt;mso-width-percent:0;mso-height-percent:0;mso-width-percent:0;mso-height-percent:0" o:hralign="center" o:hrstd="t" o:hr="t" fillcolor="gray" stroked="f">
            <v:path strokeok="f"/>
          </v:rect>
        </w:pict>
      </w:r>
    </w:p>
    <w:p w:rsidR="00E61DA1" w:rsidRDefault="00387001">
      <w:pPr>
        <w:spacing w:before="180" w:after="180"/>
      </w:pPr>
      <w:r>
        <w:t xml:space="preserve">Podľa zväzu a Slovenskej potravinovej a priemyselnej komory (SPPK), ktorá zbiera prihlášky a následne udeľuje certifikáciu pre duálne vzdelávanie, bude záujem pravdepodobne ďalej narastať. </w:t>
      </w:r>
      <w:r>
        <w:br/>
      </w:r>
      <w:r>
        <w:br/>
        <w:t xml:space="preserve">Bratislava 28. júna (TASR) – V systéme duálneho vzdelávania je registrovaných a certifikovaných 14 pekární z celého Slovenska, ktoré sú oprávnené ho poskytovať. Médiá o tom v piatok informoval mediálny zástupca </w:t>
      </w:r>
      <w:r>
        <w:rPr>
          <w:shd w:val="clear" w:color="auto" w:fill="AD80FF"/>
        </w:rPr>
        <w:t>Slovenského</w:t>
      </w:r>
      <w:r>
        <w:t xml:space="preserve"> </w:t>
      </w:r>
      <w:r>
        <w:rPr>
          <w:shd w:val="clear" w:color="auto" w:fill="AD80FF"/>
        </w:rPr>
        <w:t>zväzu</w:t>
      </w:r>
      <w:r>
        <w:t xml:space="preserve"> </w:t>
      </w:r>
      <w:r>
        <w:rPr>
          <w:shd w:val="clear" w:color="auto" w:fill="AD80FF"/>
        </w:rPr>
        <w:t>pekárov</w:t>
      </w:r>
      <w:r>
        <w:t xml:space="preserve">, </w:t>
      </w:r>
      <w:r>
        <w:rPr>
          <w:shd w:val="clear" w:color="auto" w:fill="AD80FF"/>
        </w:rPr>
        <w:t>cukrárov</w:t>
      </w:r>
      <w:r>
        <w:t xml:space="preserve"> </w:t>
      </w:r>
      <w:r>
        <w:rPr>
          <w:shd w:val="clear" w:color="auto" w:fill="AD80FF"/>
        </w:rPr>
        <w:t>a</w:t>
      </w:r>
      <w:r>
        <w:t xml:space="preserve"> </w:t>
      </w:r>
      <w:proofErr w:type="spellStart"/>
      <w:r>
        <w:rPr>
          <w:shd w:val="clear" w:color="auto" w:fill="AD80FF"/>
        </w:rPr>
        <w:t>cestovinárov</w:t>
      </w:r>
      <w:proofErr w:type="spellEnd"/>
      <w:r>
        <w:t xml:space="preserve">. </w:t>
      </w:r>
      <w:r>
        <w:br/>
        <w:t xml:space="preserve">Podľa zväzu a Slovenskej potravinovej a priemyselnej komory (SPPK), ktorá zbiera prihlášky a následne udeľuje certifikáciu pre duálne vzdelávanie, bude záujem pravdepodobne ďalej narastať. Dôvodom je akútny nedostatok ľudí, ktorí by mali záujem o prácu v </w:t>
      </w:r>
      <w:proofErr w:type="spellStart"/>
      <w:r>
        <w:t>pekárenstve</w:t>
      </w:r>
      <w:proofErr w:type="spellEnd"/>
      <w:r>
        <w:t xml:space="preserve">. Odbor pekár skončilo v posledných rokoch len pár desiatok žiakov, pričom pekárne už od roku 2015 vyhlasujú, že v celom odbore chýba 2000 ľudí. </w:t>
      </w:r>
      <w:r>
        <w:br/>
        <w:t xml:space="preserve">„V posledných rokoch pekárne evidujú obrovský pokles záujmu mladých ľudí o štúdium </w:t>
      </w:r>
      <w:proofErr w:type="spellStart"/>
      <w:r>
        <w:t>pekárenstva</w:t>
      </w:r>
      <w:proofErr w:type="spellEnd"/>
      <w:r>
        <w:t xml:space="preserve">. Súvisí to aj s nízkymi mzdami v odvetví. Avšak platí pravidlo, že vzdelávanie žiakov priamo v spoločnostiach zaisťuje vysokú úroveň kvalifikácie pracovníkov danej firmy,“ uviedla predsedníčka zväzu </w:t>
      </w:r>
      <w:r>
        <w:rPr>
          <w:shd w:val="clear" w:color="auto" w:fill="AD80FF"/>
        </w:rPr>
        <w:t>Tatiana</w:t>
      </w:r>
      <w:r>
        <w:t xml:space="preserve"> </w:t>
      </w:r>
      <w:r>
        <w:rPr>
          <w:shd w:val="clear" w:color="auto" w:fill="AD80FF"/>
        </w:rPr>
        <w:t>Lopúchová</w:t>
      </w:r>
      <w:r>
        <w:t xml:space="preserve">. Podľa nej z toho vyplýva, že tá spoločnosť, ktorá vzdelávanie poskytuje, udržuje krok s technologickými inováciami. Produktivita práce technika, ktorý pracuje so žiakom, sa zvyšuje o 10 až 20 %. </w:t>
      </w:r>
      <w:r>
        <w:br/>
        <w:t xml:space="preserve">Podľa aktuálnych dát bolo na Slovensku certifikovaných 8 pekární, z toho väčšina v rokoch 2015 až 2017. V tomto roku získalo certifikát ďalších 6 pekární, pričom SPPK eviduje ešte dve žiadosti o zapojenie sa do systému duálneho vzdelávania. „Pekárom sme vysvetlili, ako systém funguje, aké podmienky a výhody môžu zamestnávatelia získať. Preto očakávame, že záujem prejavia viaceré </w:t>
      </w:r>
      <w:proofErr w:type="spellStart"/>
      <w:r>
        <w:t>firmy,"avizuje</w:t>
      </w:r>
      <w:proofErr w:type="spellEnd"/>
      <w:r>
        <w:t xml:space="preserve"> </w:t>
      </w:r>
      <w:proofErr w:type="spellStart"/>
      <w:r>
        <w:rPr>
          <w:shd w:val="clear" w:color="auto" w:fill="AD80FF"/>
        </w:rPr>
        <w:t>Lopúchová</w:t>
      </w:r>
      <w:r>
        <w:t>.</w:t>
      </w:r>
      <w:hyperlink w:anchor="toc" w:history="1">
        <w:r>
          <w:rPr>
            <w:rStyle w:val="Hypertextovprepojenie"/>
          </w:rPr>
          <w:t>toc</w:t>
        </w:r>
        <w:proofErr w:type="spellEnd"/>
      </w:hyperlink>
    </w:p>
    <w:p w:rsidR="00E61DA1" w:rsidRDefault="00387001">
      <w:pPr>
        <w:spacing w:after="300"/>
      </w:pPr>
      <w:r>
        <w:t> </w:t>
      </w:r>
    </w:p>
    <w:p w:rsidR="00E61DA1" w:rsidRDefault="0028750A">
      <w:pPr>
        <w:ind w:left="15" w:right="15"/>
        <w:rPr>
          <w:color w:val="808080"/>
        </w:rPr>
      </w:pPr>
      <w:r>
        <w:rPr>
          <w:noProof/>
        </w:rPr>
        <w:pict>
          <v:rect id="_x0000_i1029" alt="" style="width:525.5pt;height:.05pt;mso-width-percent:0;mso-height-percent:0;mso-width-percent:0;mso-height-percent:0" o:hralign="center" o:hrstd="t" o:hr="t" fillcolor="gray" stroked="f">
            <v:path strokeok="f"/>
          </v:rect>
        </w:pict>
      </w:r>
    </w:p>
    <w:tbl>
      <w:tblPr>
        <w:tblW w:w="10350" w:type="dxa"/>
        <w:jc w:val="center"/>
        <w:tblCellSpacing w:w="0" w:type="dxa"/>
        <w:tblCellMar>
          <w:left w:w="0" w:type="dxa"/>
          <w:right w:w="0" w:type="dxa"/>
        </w:tblCellMar>
        <w:tblLook w:val="04A0" w:firstRow="1" w:lastRow="0" w:firstColumn="1" w:lastColumn="0" w:noHBand="0" w:noVBand="1"/>
      </w:tblPr>
      <w:tblGrid>
        <w:gridCol w:w="10343"/>
        <w:gridCol w:w="7"/>
      </w:tblGrid>
      <w:tr w:rsidR="00E61DA1">
        <w:trPr>
          <w:tblCellSpacing w:w="0" w:type="dxa"/>
          <w:jc w:val="center"/>
        </w:trPr>
        <w:tc>
          <w:tcPr>
            <w:tcW w:w="0" w:type="auto"/>
            <w:tcMar>
              <w:top w:w="675" w:type="dxa"/>
              <w:left w:w="75" w:type="dxa"/>
              <w:bottom w:w="375" w:type="dxa"/>
              <w:right w:w="75" w:type="dxa"/>
            </w:tcMar>
            <w:vAlign w:val="center"/>
          </w:tcPr>
          <w:p w:rsidR="00E61DA1" w:rsidRDefault="00387001">
            <w:pPr>
              <w:jc w:val="center"/>
            </w:pPr>
            <w:r>
              <w:rPr>
                <w:noProof/>
              </w:rPr>
              <w:lastRenderedPageBreak/>
              <w:drawing>
                <wp:inline distT="0" distB="0" distL="0" distR="0">
                  <wp:extent cx="5440680" cy="7040880"/>
                  <wp:effectExtent l="0" t="0" r="0" b="0"/>
                  <wp:docPr id="100032" name="Obrázok 100032"/>
                  <wp:cNvGraphicFramePr/>
                  <a:graphic xmlns:a="http://schemas.openxmlformats.org/drawingml/2006/main">
                    <a:graphicData uri="http://schemas.openxmlformats.org/drawingml/2006/picture">
                      <pic:pic xmlns:pic="http://schemas.openxmlformats.org/drawingml/2006/picture">
                        <pic:nvPicPr>
                          <pic:cNvPr id="2053714430" name=""/>
                          <pic:cNvPicPr/>
                        </pic:nvPicPr>
                        <pic:blipFill>
                          <a:blip r:embed="rId24"/>
                          <a:stretch>
                            <a:fillRect/>
                          </a:stretch>
                        </pic:blipFill>
                        <pic:spPr>
                          <a:xfrm>
                            <a:off x="0" y="0"/>
                            <a:ext cx="5440680" cy="7040880"/>
                          </a:xfrm>
                          <a:prstGeom prst="rect">
                            <a:avLst/>
                          </a:prstGeom>
                        </pic:spPr>
                      </pic:pic>
                    </a:graphicData>
                  </a:graphic>
                </wp:inline>
              </w:drawing>
            </w:r>
          </w:p>
        </w:tc>
        <w:tc>
          <w:tcPr>
            <w:tcW w:w="0" w:type="auto"/>
            <w:vAlign w:val="center"/>
          </w:tcPr>
          <w:p w:rsidR="00E61DA1" w:rsidRDefault="00E61DA1"/>
        </w:tc>
      </w:tr>
      <w:tr w:rsidR="00E61DA1">
        <w:trPr>
          <w:tblCellSpacing w:w="0" w:type="dxa"/>
          <w:jc w:val="center"/>
        </w:trPr>
        <w:tc>
          <w:tcPr>
            <w:tcW w:w="0" w:type="auto"/>
            <w:gridSpan w:val="2"/>
            <w:tcMar>
              <w:top w:w="0" w:type="dxa"/>
              <w:left w:w="0" w:type="dxa"/>
              <w:bottom w:w="0" w:type="dxa"/>
              <w:right w:w="0" w:type="dxa"/>
            </w:tcMar>
            <w:vAlign w:val="center"/>
          </w:tcPr>
          <w:p w:rsidR="00E61DA1" w:rsidRDefault="0028750A">
            <w:pPr>
              <w:rPr>
                <w:sz w:val="16"/>
                <w:szCs w:val="16"/>
              </w:rPr>
            </w:pPr>
            <w:hyperlink w:anchor="TableOfContent" w:history="1">
              <w:r w:rsidR="00387001">
                <w:rPr>
                  <w:color w:val="00A4DF"/>
                  <w:sz w:val="21"/>
                  <w:szCs w:val="21"/>
                  <w:u w:val="single" w:color="00A4DF"/>
                </w:rPr>
                <w:t>Späť</w:t>
              </w:r>
            </w:hyperlink>
          </w:p>
        </w:tc>
      </w:tr>
    </w:tbl>
    <w:p w:rsidR="00E61DA1" w:rsidRDefault="0028750A">
      <w:pPr>
        <w:pStyle w:val="Nadpis2"/>
        <w:keepNext w:val="0"/>
        <w:spacing w:before="224" w:after="224"/>
        <w:rPr>
          <w:sz w:val="27"/>
          <w:szCs w:val="27"/>
        </w:rPr>
      </w:pPr>
      <w:hyperlink w:anchor="TableOfContent__xi16__OPSK19C74179" w:history="1">
        <w:r w:rsidR="00387001">
          <w:rPr>
            <w:rFonts w:ascii="Arial" w:eastAsia="Arial" w:hAnsi="Arial" w:cs="Arial"/>
            <w:iCs w:val="0"/>
            <w:color w:val="303030"/>
            <w:sz w:val="32"/>
            <w:szCs w:val="32"/>
            <w:u w:val="single" w:color="303030"/>
          </w:rPr>
          <w:t xml:space="preserve">V systéme duálneho vzdelávania je štrnásť pekární </w:t>
        </w:r>
        <w:bookmarkStart w:id="20" w:name="Article__xi16__OPSK19C74179"/>
      </w:hyperlink>
      <w:bookmarkEnd w:id="20"/>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816"/>
        <w:gridCol w:w="9724"/>
      </w:tblGrid>
      <w:tr w:rsidR="00E61DA1">
        <w:trPr>
          <w:tblCellSpacing w:w="15" w:type="dxa"/>
        </w:trPr>
        <w:tc>
          <w:tcPr>
            <w:tcW w:w="0" w:type="auto"/>
            <w:tcMar>
              <w:top w:w="15" w:type="dxa"/>
              <w:left w:w="15" w:type="dxa"/>
              <w:bottom w:w="15" w:type="dxa"/>
              <w:right w:w="15" w:type="dxa"/>
            </w:tcMar>
            <w:vAlign w:val="center"/>
          </w:tcPr>
          <w:p w:rsidR="00E61DA1" w:rsidRDefault="00387001">
            <w:r>
              <w:rPr>
                <w:b/>
                <w:bCs/>
              </w:rPr>
              <w:lastRenderedPageBreak/>
              <w:t>Dátum:</w:t>
            </w:r>
          </w:p>
        </w:tc>
        <w:tc>
          <w:tcPr>
            <w:tcW w:w="5000" w:type="pct"/>
            <w:tcMar>
              <w:top w:w="15" w:type="dxa"/>
              <w:left w:w="15" w:type="dxa"/>
              <w:bottom w:w="15" w:type="dxa"/>
              <w:right w:w="15" w:type="dxa"/>
            </w:tcMar>
            <w:vAlign w:val="center"/>
          </w:tcPr>
          <w:p w:rsidR="00E61DA1" w:rsidRDefault="00387001">
            <w:r>
              <w:t>28.06.2019</w:t>
            </w:r>
          </w:p>
        </w:tc>
      </w:tr>
      <w:tr w:rsidR="00E61DA1">
        <w:trPr>
          <w:tblCellSpacing w:w="15" w:type="dxa"/>
        </w:trPr>
        <w:tc>
          <w:tcPr>
            <w:tcW w:w="0" w:type="auto"/>
            <w:tcMar>
              <w:top w:w="15" w:type="dxa"/>
              <w:left w:w="15" w:type="dxa"/>
              <w:bottom w:w="15" w:type="dxa"/>
              <w:right w:w="15" w:type="dxa"/>
            </w:tcMar>
            <w:vAlign w:val="center"/>
          </w:tcPr>
          <w:p w:rsidR="00E61DA1" w:rsidRDefault="00387001">
            <w:r>
              <w:rPr>
                <w:b/>
                <w:bCs/>
              </w:rPr>
              <w:t>Zdroj:</w:t>
            </w:r>
          </w:p>
        </w:tc>
        <w:tc>
          <w:tcPr>
            <w:tcW w:w="0" w:type="auto"/>
            <w:tcMar>
              <w:top w:w="15" w:type="dxa"/>
              <w:left w:w="15" w:type="dxa"/>
              <w:bottom w:w="15" w:type="dxa"/>
              <w:right w:w="15" w:type="dxa"/>
            </w:tcMar>
            <w:vAlign w:val="center"/>
          </w:tcPr>
          <w:p w:rsidR="00E61DA1" w:rsidRDefault="00387001">
            <w:r>
              <w:t xml:space="preserve">sme.sk </w:t>
            </w:r>
          </w:p>
        </w:tc>
      </w:tr>
      <w:tr w:rsidR="00E61DA1">
        <w:trPr>
          <w:tblCellSpacing w:w="15" w:type="dxa"/>
        </w:trPr>
        <w:tc>
          <w:tcPr>
            <w:tcW w:w="0" w:type="auto"/>
            <w:tcMar>
              <w:top w:w="15" w:type="dxa"/>
              <w:left w:w="15" w:type="dxa"/>
              <w:bottom w:w="15" w:type="dxa"/>
              <w:right w:w="15" w:type="dxa"/>
            </w:tcMar>
            <w:vAlign w:val="center"/>
          </w:tcPr>
          <w:p w:rsidR="00E61DA1" w:rsidRDefault="00387001">
            <w:r>
              <w:rPr>
                <w:b/>
                <w:bCs/>
              </w:rPr>
              <w:t>Strana:</w:t>
            </w:r>
          </w:p>
        </w:tc>
        <w:tc>
          <w:tcPr>
            <w:tcW w:w="0" w:type="auto"/>
            <w:tcMar>
              <w:top w:w="15" w:type="dxa"/>
              <w:left w:w="15" w:type="dxa"/>
              <w:bottom w:w="15" w:type="dxa"/>
              <w:right w:w="15" w:type="dxa"/>
            </w:tcMar>
            <w:vAlign w:val="center"/>
          </w:tcPr>
          <w:p w:rsidR="00E61DA1" w:rsidRDefault="00E61DA1"/>
        </w:tc>
      </w:tr>
      <w:tr w:rsidR="00E61DA1">
        <w:trPr>
          <w:tblCellSpacing w:w="15" w:type="dxa"/>
        </w:trPr>
        <w:tc>
          <w:tcPr>
            <w:tcW w:w="0" w:type="auto"/>
            <w:tcMar>
              <w:top w:w="15" w:type="dxa"/>
              <w:left w:w="15" w:type="dxa"/>
              <w:bottom w:w="15" w:type="dxa"/>
              <w:right w:w="15" w:type="dxa"/>
            </w:tcMar>
            <w:vAlign w:val="center"/>
          </w:tcPr>
          <w:p w:rsidR="00E61DA1" w:rsidRDefault="00387001">
            <w:r>
              <w:rPr>
                <w:b/>
                <w:bCs/>
              </w:rPr>
              <w:t>Originál:</w:t>
            </w:r>
          </w:p>
        </w:tc>
        <w:tc>
          <w:tcPr>
            <w:tcW w:w="0" w:type="auto"/>
            <w:tcMar>
              <w:top w:w="15" w:type="dxa"/>
              <w:left w:w="15" w:type="dxa"/>
              <w:bottom w:w="15" w:type="dxa"/>
              <w:right w:w="15" w:type="dxa"/>
            </w:tcMar>
            <w:vAlign w:val="center"/>
          </w:tcPr>
          <w:p w:rsidR="00E61DA1" w:rsidRDefault="0028750A">
            <w:hyperlink r:id="rId25" w:history="1">
              <w:r w:rsidR="00387001">
                <w:rPr>
                  <w:rStyle w:val="link-url"/>
                </w:rPr>
                <w:t>URL</w:t>
              </w:r>
            </w:hyperlink>
            <w:r w:rsidR="00387001">
              <w:t> </w:t>
            </w:r>
          </w:p>
        </w:tc>
      </w:tr>
    </w:tbl>
    <w:p w:rsidR="00E61DA1" w:rsidRDefault="0028750A">
      <w:pPr>
        <w:ind w:left="15" w:right="15"/>
        <w:rPr>
          <w:color w:val="808080"/>
        </w:rPr>
      </w:pPr>
      <w:r>
        <w:rPr>
          <w:noProof/>
        </w:rPr>
        <w:pict>
          <v:rect id="_x0000_i1028" alt="" style="width:525.5pt;height:.05pt;mso-width-percent:0;mso-height-percent:0;mso-width-percent:0;mso-height-percent:0" o:hralign="center" o:hrstd="t" o:hr="t" fillcolor="gray" stroked="f">
            <v:path strokeok="f"/>
          </v:rect>
        </w:pict>
      </w:r>
    </w:p>
    <w:p w:rsidR="00E61DA1" w:rsidRDefault="00387001">
      <w:r>
        <w:t xml:space="preserve">TASR </w:t>
      </w:r>
    </w:p>
    <w:p w:rsidR="00E61DA1" w:rsidRDefault="00387001">
      <w:pPr>
        <w:spacing w:before="180" w:after="180"/>
      </w:pPr>
      <w:r>
        <w:t xml:space="preserve">Odbor pekár skončilo v posledných rokoch len pár desiatok žiakov, chýba 2000 ľudí. </w:t>
      </w:r>
      <w:r>
        <w:br/>
      </w:r>
      <w:r>
        <w:br/>
      </w:r>
      <w:r>
        <w:br/>
        <w:t xml:space="preserve">BRATISLAVA. V systéme duálneho vzdelávania je registrovaných a certifikovaných 14 pekární z celého Slovenska, ktoré sú oprávnené ho poskytovať. </w:t>
      </w:r>
      <w:r>
        <w:br/>
      </w:r>
      <w:r>
        <w:br/>
        <w:t xml:space="preserve">Médiá o tom v piatok informoval mediálny zástupca </w:t>
      </w:r>
      <w:r>
        <w:rPr>
          <w:shd w:val="clear" w:color="auto" w:fill="AD80FF"/>
        </w:rPr>
        <w:t>Slovenského</w:t>
      </w:r>
      <w:r>
        <w:t xml:space="preserve"> </w:t>
      </w:r>
      <w:r>
        <w:rPr>
          <w:shd w:val="clear" w:color="auto" w:fill="AD80FF"/>
        </w:rPr>
        <w:t>zväzu</w:t>
      </w:r>
      <w:r>
        <w:t xml:space="preserve"> </w:t>
      </w:r>
      <w:r>
        <w:rPr>
          <w:shd w:val="clear" w:color="auto" w:fill="AD80FF"/>
        </w:rPr>
        <w:t>pekárov</w:t>
      </w:r>
      <w:r>
        <w:t xml:space="preserve">, </w:t>
      </w:r>
      <w:r>
        <w:rPr>
          <w:shd w:val="clear" w:color="auto" w:fill="AD80FF"/>
        </w:rPr>
        <w:t>cukrárov</w:t>
      </w:r>
      <w:r>
        <w:t xml:space="preserve"> </w:t>
      </w:r>
      <w:r>
        <w:rPr>
          <w:shd w:val="clear" w:color="auto" w:fill="AD80FF"/>
        </w:rPr>
        <w:t>a</w:t>
      </w:r>
      <w:r>
        <w:t xml:space="preserve"> </w:t>
      </w:r>
      <w:proofErr w:type="spellStart"/>
      <w:r>
        <w:rPr>
          <w:shd w:val="clear" w:color="auto" w:fill="AD80FF"/>
        </w:rPr>
        <w:t>cestovinárov</w:t>
      </w:r>
      <w:proofErr w:type="spellEnd"/>
      <w:r>
        <w:t xml:space="preserve">. </w:t>
      </w:r>
      <w:r>
        <w:br/>
        <w:t xml:space="preserve">V pekárňach chýba dvetisíc pracovníkov </w:t>
      </w:r>
      <w:r>
        <w:br/>
        <w:t xml:space="preserve">Podľa zväzu a Slovenskej potravinovej a priemyselnej komory (SPPK), ktorá zbiera prihlášky a následne udeľuje certifikáciu pre duálne vzdelávanie, bude záujem pravdepodobne ďalej narastať. </w:t>
      </w:r>
      <w:r>
        <w:br/>
      </w:r>
      <w:r>
        <w:br/>
        <w:t xml:space="preserve">Dôvodom je akútny nedostatok ľudí, ktorí by mali záujem o prácu v </w:t>
      </w:r>
      <w:proofErr w:type="spellStart"/>
      <w:r>
        <w:t>pekárenstve</w:t>
      </w:r>
      <w:proofErr w:type="spellEnd"/>
      <w:r>
        <w:t xml:space="preserve">. Odbor pekár skončilo v posledných rokoch len pár desiatok žiakov, pričom pekárne už od roku 2015 vyhlasujú, že v celom odbore chýba 2000 ľudí. </w:t>
      </w:r>
      <w:r>
        <w:br/>
      </w:r>
      <w:r>
        <w:br/>
        <w:t xml:space="preserve">"V posledných rokoch pekárne evidujú obrovský pokles záujmu mladých ľudí o štúdium </w:t>
      </w:r>
      <w:proofErr w:type="spellStart"/>
      <w:r>
        <w:t>pekárenstva</w:t>
      </w:r>
      <w:proofErr w:type="spellEnd"/>
      <w:r>
        <w:t xml:space="preserve">. Súvisí to aj s nízkymi mzdami v odvetví. Avšak platí pravidlo, že vzdelávanie žiakov priamo v spoločnostiach zaisťuje vysokú úroveň kvalifikácie pracovníkov danej firmy," uviedla predsedníčka zväzu </w:t>
      </w:r>
      <w:r>
        <w:rPr>
          <w:shd w:val="clear" w:color="auto" w:fill="AD80FF"/>
        </w:rPr>
        <w:t>Tatiana</w:t>
      </w:r>
      <w:r>
        <w:t xml:space="preserve"> </w:t>
      </w:r>
      <w:r>
        <w:rPr>
          <w:shd w:val="clear" w:color="auto" w:fill="AD80FF"/>
        </w:rPr>
        <w:t>Lopúchová</w:t>
      </w:r>
      <w:r>
        <w:t xml:space="preserve">. </w:t>
      </w:r>
      <w:r>
        <w:br/>
        <w:t xml:space="preserve">Rastie produktivita práce so žiakom </w:t>
      </w:r>
      <w:r>
        <w:br/>
        <w:t xml:space="preserve">Podľa nej z toho vyplýva, že tá spoločnosť, ktorá vzdelávanie poskytuje, udržuje krok s technologickými inováciami. Produktivita práce technika, ktorý pracuje so žiakom, sa zvyšuje o 10 až 20 percent. </w:t>
      </w:r>
      <w:r>
        <w:br/>
      </w:r>
      <w:r>
        <w:br/>
      </w:r>
      <w:r>
        <w:br/>
      </w:r>
      <w:r>
        <w:br/>
      </w:r>
      <w:r>
        <w:br/>
        <w:t xml:space="preserve">Podľa aktuálnych dát bolo na Slovensku certifikovaných 8 pekární, z toho väčšina v rokoch 2015 až 2017. V tomto roku získalo certifikát ďalších 6 pekární, pričom SPPK eviduje ešte dve žiadosti o zapojenie sa do systému duálneho vzdelávania. </w:t>
      </w:r>
      <w:r>
        <w:br/>
      </w:r>
      <w:r>
        <w:br/>
        <w:t xml:space="preserve">"Pekárom sme vysvetlili, ako systém funguje, aké podmienky a výhody môžu zamestnávatelia získať. Preto očakávame, že záujem prejavia viaceré firmy," avizuje </w:t>
      </w:r>
      <w:proofErr w:type="spellStart"/>
      <w:r>
        <w:rPr>
          <w:shd w:val="clear" w:color="auto" w:fill="AD80FF"/>
        </w:rPr>
        <w:t>Lopúchová</w:t>
      </w:r>
      <w:r>
        <w:t>.</w:t>
      </w:r>
      <w:hyperlink w:anchor="toc" w:history="1">
        <w:r>
          <w:rPr>
            <w:rStyle w:val="Hypertextovprepojenie"/>
          </w:rPr>
          <w:t>toc</w:t>
        </w:r>
        <w:proofErr w:type="spellEnd"/>
      </w:hyperlink>
    </w:p>
    <w:p w:rsidR="00E61DA1" w:rsidRDefault="00387001">
      <w:pPr>
        <w:spacing w:after="300"/>
      </w:pPr>
      <w:r>
        <w:t> </w:t>
      </w:r>
    </w:p>
    <w:p w:rsidR="00E61DA1" w:rsidRDefault="0028750A">
      <w:pPr>
        <w:ind w:left="15" w:right="15"/>
        <w:rPr>
          <w:color w:val="808080"/>
        </w:rPr>
      </w:pPr>
      <w:r>
        <w:rPr>
          <w:noProof/>
        </w:rPr>
        <w:pict>
          <v:rect id="_x0000_i1027" alt="" style="width:525.5pt;height:.05pt;mso-width-percent:0;mso-height-percent:0;mso-width-percent:0;mso-height-percent:0" o:hralign="center" o:hrstd="t" o:hr="t" fillcolor="gray" stroked="f">
            <v:path strokeok="f"/>
          </v:rect>
        </w:pict>
      </w:r>
    </w:p>
    <w:p w:rsidR="00E61DA1" w:rsidRDefault="0028750A">
      <w:pPr>
        <w:pStyle w:val="Nadpis2"/>
        <w:keepNext w:val="0"/>
        <w:spacing w:before="224" w:after="224"/>
        <w:rPr>
          <w:sz w:val="27"/>
          <w:szCs w:val="27"/>
        </w:rPr>
      </w:pPr>
      <w:hyperlink w:anchor="TableOfContent__xi16__2019Qd179171" w:history="1">
        <w:r w:rsidR="00387001">
          <w:rPr>
            <w:rFonts w:ascii="Arial" w:eastAsia="Arial" w:hAnsi="Arial" w:cs="Arial"/>
            <w:iCs w:val="0"/>
            <w:color w:val="303030"/>
            <w:sz w:val="32"/>
            <w:szCs w:val="32"/>
            <w:u w:val="single" w:color="303030"/>
          </w:rPr>
          <w:t xml:space="preserve">Hospodárstvo: V systéme duálneho vzdelávania je certifikovaných 14 pekární </w:t>
        </w:r>
        <w:bookmarkStart w:id="21" w:name="Article__xi16__2019Qd179171"/>
      </w:hyperlink>
      <w:bookmarkEnd w:id="21"/>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816"/>
        <w:gridCol w:w="9724"/>
      </w:tblGrid>
      <w:tr w:rsidR="00E61DA1">
        <w:trPr>
          <w:tblCellSpacing w:w="15" w:type="dxa"/>
        </w:trPr>
        <w:tc>
          <w:tcPr>
            <w:tcW w:w="0" w:type="auto"/>
            <w:tcMar>
              <w:top w:w="15" w:type="dxa"/>
              <w:left w:w="15" w:type="dxa"/>
              <w:bottom w:w="15" w:type="dxa"/>
              <w:right w:w="15" w:type="dxa"/>
            </w:tcMar>
            <w:vAlign w:val="center"/>
          </w:tcPr>
          <w:p w:rsidR="00E61DA1" w:rsidRDefault="00387001">
            <w:r>
              <w:rPr>
                <w:b/>
                <w:bCs/>
              </w:rPr>
              <w:t>Dátum:</w:t>
            </w:r>
          </w:p>
        </w:tc>
        <w:tc>
          <w:tcPr>
            <w:tcW w:w="5000" w:type="pct"/>
            <w:tcMar>
              <w:top w:w="15" w:type="dxa"/>
              <w:left w:w="15" w:type="dxa"/>
              <w:bottom w:w="15" w:type="dxa"/>
              <w:right w:w="15" w:type="dxa"/>
            </w:tcMar>
            <w:vAlign w:val="center"/>
          </w:tcPr>
          <w:p w:rsidR="00E61DA1" w:rsidRDefault="00387001">
            <w:r>
              <w:t>28.06.2019</w:t>
            </w:r>
          </w:p>
        </w:tc>
      </w:tr>
      <w:tr w:rsidR="00E61DA1">
        <w:trPr>
          <w:tblCellSpacing w:w="15" w:type="dxa"/>
        </w:trPr>
        <w:tc>
          <w:tcPr>
            <w:tcW w:w="0" w:type="auto"/>
            <w:tcMar>
              <w:top w:w="15" w:type="dxa"/>
              <w:left w:w="15" w:type="dxa"/>
              <w:bottom w:w="15" w:type="dxa"/>
              <w:right w:w="15" w:type="dxa"/>
            </w:tcMar>
            <w:vAlign w:val="center"/>
          </w:tcPr>
          <w:p w:rsidR="00E61DA1" w:rsidRDefault="00387001">
            <w:r>
              <w:rPr>
                <w:b/>
                <w:bCs/>
              </w:rPr>
              <w:t>Zdroj:</w:t>
            </w:r>
          </w:p>
        </w:tc>
        <w:tc>
          <w:tcPr>
            <w:tcW w:w="0" w:type="auto"/>
            <w:tcMar>
              <w:top w:w="15" w:type="dxa"/>
              <w:left w:w="15" w:type="dxa"/>
              <w:bottom w:w="15" w:type="dxa"/>
              <w:right w:w="15" w:type="dxa"/>
            </w:tcMar>
            <w:vAlign w:val="center"/>
          </w:tcPr>
          <w:p w:rsidR="00E61DA1" w:rsidRDefault="00387001">
            <w:proofErr w:type="spellStart"/>
            <w:r>
              <w:t>Tasr</w:t>
            </w:r>
            <w:proofErr w:type="spellEnd"/>
            <w:r>
              <w:t xml:space="preserve"> </w:t>
            </w:r>
          </w:p>
        </w:tc>
      </w:tr>
      <w:tr w:rsidR="00E61DA1">
        <w:trPr>
          <w:tblCellSpacing w:w="15" w:type="dxa"/>
        </w:trPr>
        <w:tc>
          <w:tcPr>
            <w:tcW w:w="0" w:type="auto"/>
            <w:tcMar>
              <w:top w:w="15" w:type="dxa"/>
              <w:left w:w="15" w:type="dxa"/>
              <w:bottom w:w="15" w:type="dxa"/>
              <w:right w:w="15" w:type="dxa"/>
            </w:tcMar>
            <w:vAlign w:val="center"/>
          </w:tcPr>
          <w:p w:rsidR="00E61DA1" w:rsidRDefault="00387001">
            <w:r>
              <w:rPr>
                <w:b/>
                <w:bCs/>
              </w:rPr>
              <w:t>Strana:</w:t>
            </w:r>
          </w:p>
        </w:tc>
        <w:tc>
          <w:tcPr>
            <w:tcW w:w="0" w:type="auto"/>
            <w:tcMar>
              <w:top w:w="15" w:type="dxa"/>
              <w:left w:w="15" w:type="dxa"/>
              <w:bottom w:w="15" w:type="dxa"/>
              <w:right w:w="15" w:type="dxa"/>
            </w:tcMar>
            <w:vAlign w:val="center"/>
          </w:tcPr>
          <w:p w:rsidR="00E61DA1" w:rsidRDefault="00E61DA1"/>
        </w:tc>
      </w:tr>
      <w:tr w:rsidR="00E61DA1">
        <w:trPr>
          <w:tblCellSpacing w:w="15" w:type="dxa"/>
        </w:trPr>
        <w:tc>
          <w:tcPr>
            <w:tcW w:w="0" w:type="auto"/>
            <w:tcMar>
              <w:top w:w="15" w:type="dxa"/>
              <w:left w:w="15" w:type="dxa"/>
              <w:bottom w:w="15" w:type="dxa"/>
              <w:right w:w="15" w:type="dxa"/>
            </w:tcMar>
            <w:vAlign w:val="center"/>
          </w:tcPr>
          <w:p w:rsidR="00E61DA1" w:rsidRDefault="00387001">
            <w:r>
              <w:rPr>
                <w:b/>
                <w:bCs/>
              </w:rPr>
              <w:t>Originál:</w:t>
            </w:r>
          </w:p>
        </w:tc>
        <w:tc>
          <w:tcPr>
            <w:tcW w:w="0" w:type="auto"/>
            <w:tcMar>
              <w:top w:w="15" w:type="dxa"/>
              <w:left w:w="15" w:type="dxa"/>
              <w:bottom w:w="15" w:type="dxa"/>
              <w:right w:w="15" w:type="dxa"/>
            </w:tcMar>
            <w:vAlign w:val="center"/>
          </w:tcPr>
          <w:p w:rsidR="00E61DA1" w:rsidRDefault="00E61DA1"/>
        </w:tc>
      </w:tr>
    </w:tbl>
    <w:p w:rsidR="00E61DA1" w:rsidRDefault="0028750A">
      <w:pPr>
        <w:rPr>
          <w:b/>
          <w:bCs/>
          <w:sz w:val="21"/>
          <w:szCs w:val="21"/>
        </w:rPr>
      </w:pPr>
      <w:r>
        <w:rPr>
          <w:noProof/>
        </w:rPr>
        <w:pict>
          <v:rect id="_x0000_i1026" alt="" style="width:527pt;height:.05pt;mso-width-percent:0;mso-height-percent:0;mso-width-percent:0;mso-height-percent:0" o:hralign="center" o:hrstd="t" o:hr="t" fillcolor="gray" stroked="f">
            <v:path strokeok="f"/>
          </v:rect>
        </w:pict>
      </w:r>
    </w:p>
    <w:p w:rsidR="00E61DA1" w:rsidRDefault="00387001">
      <w:pPr>
        <w:spacing w:before="180" w:after="180"/>
      </w:pPr>
      <w:r>
        <w:t xml:space="preserve">Bratislava 28. júna (TASR) V systéme duálneho vzdelávania je registrovaných a certifikovaných 14 pekární z celého Slovenska, ktoré sú oprávnené ho poskytovať. Médiá o tom v piatok informoval mediálny zástupca </w:t>
      </w:r>
      <w:r>
        <w:rPr>
          <w:shd w:val="clear" w:color="auto" w:fill="AD80FF"/>
        </w:rPr>
        <w:t>Slovenského</w:t>
      </w:r>
      <w:r>
        <w:t xml:space="preserve"> </w:t>
      </w:r>
      <w:r>
        <w:rPr>
          <w:shd w:val="clear" w:color="auto" w:fill="AD80FF"/>
        </w:rPr>
        <w:t>zväzu</w:t>
      </w:r>
      <w:r>
        <w:t xml:space="preserve"> </w:t>
      </w:r>
      <w:r>
        <w:rPr>
          <w:shd w:val="clear" w:color="auto" w:fill="AD80FF"/>
        </w:rPr>
        <w:t>pekárov</w:t>
      </w:r>
      <w:r>
        <w:t xml:space="preserve">, </w:t>
      </w:r>
      <w:r>
        <w:rPr>
          <w:shd w:val="clear" w:color="auto" w:fill="AD80FF"/>
        </w:rPr>
        <w:t>cukrárov</w:t>
      </w:r>
      <w:r>
        <w:t xml:space="preserve"> </w:t>
      </w:r>
      <w:r>
        <w:rPr>
          <w:shd w:val="clear" w:color="auto" w:fill="AD80FF"/>
        </w:rPr>
        <w:t>a</w:t>
      </w:r>
      <w:r>
        <w:t xml:space="preserve"> </w:t>
      </w:r>
      <w:proofErr w:type="spellStart"/>
      <w:r>
        <w:rPr>
          <w:shd w:val="clear" w:color="auto" w:fill="AD80FF"/>
        </w:rPr>
        <w:t>cestovinárov</w:t>
      </w:r>
      <w:proofErr w:type="spellEnd"/>
      <w:r>
        <w:t xml:space="preserve">. </w:t>
      </w:r>
      <w:proofErr w:type="spellStart"/>
      <w:r>
        <w:t>Podla</w:t>
      </w:r>
      <w:proofErr w:type="spellEnd"/>
      <w:r>
        <w:t xml:space="preserve"> zväzu a Slovenskej potravinovej a priemyselnej komory (SPPK), ktorá zbiera prihlášky a následne </w:t>
      </w:r>
      <w:proofErr w:type="spellStart"/>
      <w:r>
        <w:t>udeluje</w:t>
      </w:r>
      <w:proofErr w:type="spellEnd"/>
      <w:r>
        <w:t xml:space="preserve"> certifikáciu pre duálne vzdelávanie, bude záujem pravdepodobne ďalej narastať. Dôvodom je akútny nedostatok </w:t>
      </w:r>
      <w:proofErr w:type="spellStart"/>
      <w:r>
        <w:t>ludí</w:t>
      </w:r>
      <w:proofErr w:type="spellEnd"/>
      <w:r>
        <w:t xml:space="preserve">, ktorí by mali záujem o prácu </w:t>
      </w:r>
      <w:r>
        <w:br/>
        <w:t xml:space="preserve">v </w:t>
      </w:r>
      <w:proofErr w:type="spellStart"/>
      <w:r>
        <w:t>pekárenstve</w:t>
      </w:r>
      <w:proofErr w:type="spellEnd"/>
      <w:r>
        <w:t xml:space="preserve">. Odbor pekár skončilo v posledných rokoch len pár desiatok žiakov, pričom pekárne už od roku 2015 vyhlasujú, že v celom odbore chýba 2000 </w:t>
      </w:r>
      <w:proofErr w:type="spellStart"/>
      <w:r>
        <w:t>ludí</w:t>
      </w:r>
      <w:proofErr w:type="spellEnd"/>
      <w:r>
        <w:t xml:space="preserve">. </w:t>
      </w:r>
      <w:r>
        <w:br/>
        <w:t xml:space="preserve">V posledných rokoch pekárne evidujú obrovský pokles záujmu mladých </w:t>
      </w:r>
      <w:proofErr w:type="spellStart"/>
      <w:r>
        <w:t>ludí</w:t>
      </w:r>
      <w:proofErr w:type="spellEnd"/>
      <w:r>
        <w:t xml:space="preserve"> o štúdium </w:t>
      </w:r>
      <w:proofErr w:type="spellStart"/>
      <w:r>
        <w:t>pekárenstva</w:t>
      </w:r>
      <w:proofErr w:type="spellEnd"/>
      <w:r>
        <w:t xml:space="preserve">. Súvisí to aj s nízkymi mzdami v </w:t>
      </w:r>
      <w:r>
        <w:lastRenderedPageBreak/>
        <w:t xml:space="preserve">odvetví. Avšak platí pravidlo, že vzdelávanie žiakov priamo v spoločnostiach zaisťuje vysokú úroveň kvalifikácie pracovníkov danej firmy, uviedla predsedníčka zväzu </w:t>
      </w:r>
      <w:r>
        <w:rPr>
          <w:shd w:val="clear" w:color="auto" w:fill="AD80FF"/>
        </w:rPr>
        <w:t>Tatiana</w:t>
      </w:r>
      <w:r>
        <w:t xml:space="preserve"> </w:t>
      </w:r>
      <w:r>
        <w:rPr>
          <w:shd w:val="clear" w:color="auto" w:fill="AD80FF"/>
        </w:rPr>
        <w:t>Lopúchová</w:t>
      </w:r>
      <w:r>
        <w:t xml:space="preserve">. </w:t>
      </w:r>
      <w:proofErr w:type="spellStart"/>
      <w:r>
        <w:t>Podla</w:t>
      </w:r>
      <w:proofErr w:type="spellEnd"/>
      <w:r>
        <w:t xml:space="preserve"> nej z toho vyplýva, že tá spoločnosť, ktorá vzdelávanie poskytuje, udržuje krok s technologickými inováciami. Produktivita práce technika, ktorý pracuje so žiakom, sa zvyšuje o 10 až 20 %. </w:t>
      </w:r>
      <w:r>
        <w:br/>
      </w:r>
      <w:proofErr w:type="spellStart"/>
      <w:r>
        <w:t>Podla</w:t>
      </w:r>
      <w:proofErr w:type="spellEnd"/>
      <w:r>
        <w:t xml:space="preserve"> aktuálnych dát bolo na Slovensku certifikovaných 8 pekární, z toho väčšina v rokoch 2015 až 2017. V tomto roku získalo certifikát ďalších 6 pekární, pričom SPPK eviduje ešte dve žiadosti o zapojenie sa do systému duálneho vzdelávania. Pekárom sme </w:t>
      </w:r>
      <w:r>
        <w:br/>
        <w:t xml:space="preserve">vysvetlili, ako systém funguje, aké podmienky a výhody môžu </w:t>
      </w:r>
      <w:r>
        <w:br/>
        <w:t xml:space="preserve">zamestnávatelia získať. Preto očakávame, že záujem prejavia viaceré firmy," avizuje </w:t>
      </w:r>
      <w:r>
        <w:rPr>
          <w:shd w:val="clear" w:color="auto" w:fill="AD80FF"/>
        </w:rPr>
        <w:t>Lopúchová</w:t>
      </w:r>
      <w:r>
        <w:t xml:space="preserve">. </w:t>
      </w:r>
      <w:r>
        <w:br/>
      </w:r>
      <w:r>
        <w:br/>
      </w:r>
      <w:r>
        <w:br/>
      </w:r>
      <w:proofErr w:type="spellStart"/>
      <w:r>
        <w:t>vmv</w:t>
      </w:r>
      <w:proofErr w:type="spellEnd"/>
      <w:r>
        <w:t xml:space="preserve"> </w:t>
      </w:r>
      <w:proofErr w:type="spellStart"/>
      <w:r>
        <w:t>jur</w:t>
      </w:r>
      <w:hyperlink w:anchor="toc" w:history="1">
        <w:r>
          <w:rPr>
            <w:rStyle w:val="Hypertextovprepojenie"/>
          </w:rPr>
          <w:t>toc</w:t>
        </w:r>
        <w:proofErr w:type="spellEnd"/>
      </w:hyperlink>
    </w:p>
    <w:p w:rsidR="00E61DA1" w:rsidRDefault="00387001">
      <w:pPr>
        <w:spacing w:after="300"/>
      </w:pPr>
      <w:r>
        <w:t> </w:t>
      </w:r>
    </w:p>
    <w:p w:rsidR="00E61DA1" w:rsidRDefault="0028750A">
      <w:pPr>
        <w:ind w:left="15" w:right="15"/>
        <w:rPr>
          <w:color w:val="808080"/>
        </w:rPr>
      </w:pPr>
      <w:r>
        <w:rPr>
          <w:noProof/>
        </w:rPr>
        <w:pict>
          <v:rect id="_x0000_i1025" alt="" style="width:523.85pt;height:.05pt;mso-width-percent:0;mso-height-percent:0;mso-width-percent:0;mso-height-percent:0" o:hrpct="994" o:hralign="center" o:hrstd="t" o:hr="t" fillcolor="gray" stroked="f">
            <v:path strokeok="f"/>
          </v:rect>
        </w:pict>
      </w:r>
    </w:p>
    <w:sectPr w:rsidR="00E61DA1" w:rsidSect="00546E85">
      <w:footerReference w:type="default" r:id="rId26"/>
      <w:pgSz w:w="12240" w:h="15840"/>
      <w:pgMar w:top="1417" w:right="850" w:bottom="1417" w:left="850" w:header="708" w:footer="708" w:gutter="0"/>
      <w:pgNumType w:start="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50A" w:rsidRDefault="0028750A">
      <w:r>
        <w:separator/>
      </w:r>
    </w:p>
  </w:endnote>
  <w:endnote w:type="continuationSeparator" w:id="0">
    <w:p w:rsidR="0028750A" w:rsidRDefault="0028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DA1" w:rsidRDefault="00387001">
    <w:r>
      <w:fldChar w:fldCharType="begin"/>
    </w:r>
    <w:r>
      <w:instrText>PAGE</w:instrText>
    </w:r>
    <w:r>
      <w:fldChar w:fldCharType="separate"/>
    </w:r>
    <w:r w:rsidR="00546E85">
      <w:rPr>
        <w:noProof/>
      </w:rPr>
      <w:t>1</w:t>
    </w:r>
    <w:r>
      <w:fldChar w:fldCharType="end"/>
    </w:r>
    <w:r>
      <w:t>/</w:t>
    </w:r>
    <w:r>
      <w:fldChar w:fldCharType="begin"/>
    </w:r>
    <w:r>
      <w:instrText>NUMPAGES</w:instrText>
    </w:r>
    <w:r>
      <w:fldChar w:fldCharType="separate"/>
    </w:r>
    <w:r w:rsidR="00546E8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50A" w:rsidRDefault="0028750A">
      <w:r>
        <w:separator/>
      </w:r>
    </w:p>
  </w:footnote>
  <w:footnote w:type="continuationSeparator" w:id="0">
    <w:p w:rsidR="0028750A" w:rsidRDefault="00287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A1"/>
    <w:rsid w:val="0028750A"/>
    <w:rsid w:val="00387001"/>
    <w:rsid w:val="003C4072"/>
    <w:rsid w:val="00546E85"/>
    <w:rsid w:val="00E61D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8402"/>
  <w15:docId w15:val="{CDA8337E-79A6-1D43-9DC6-E1485359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05BCE"/>
    <w:rPr>
      <w:rFonts w:ascii="Arial" w:eastAsia="Arial" w:hAnsi="Arial" w:cs="Arial"/>
      <w:sz w:val="18"/>
      <w:szCs w:val="18"/>
    </w:rPr>
  </w:style>
  <w:style w:type="paragraph" w:styleId="Nadpis1">
    <w:name w:val="heading 1"/>
    <w:basedOn w:val="Normlny"/>
    <w:next w:val="Normlny"/>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Nadpis2">
    <w:name w:val="heading 2"/>
    <w:basedOn w:val="Normlny"/>
    <w:next w:val="Normlny"/>
    <w:qFormat/>
    <w:rsid w:val="00EF7B96"/>
    <w:pPr>
      <w:keepNext/>
      <w:spacing w:before="240" w:after="60"/>
      <w:outlineLvl w:val="1"/>
    </w:pPr>
    <w:rPr>
      <w:rFonts w:ascii="Times New Roman" w:eastAsia="Times New Roman" w:hAnsi="Times New Roman" w:cs="Times New Roman"/>
      <w:b/>
      <w:bCs/>
      <w:iCs/>
      <w:sz w:val="36"/>
      <w:szCs w:val="36"/>
    </w:rPr>
  </w:style>
  <w:style w:type="paragraph" w:styleId="Nadpis3">
    <w:name w:val="heading 3"/>
    <w:basedOn w:val="Normlny"/>
    <w:next w:val="Normlny"/>
    <w:qFormat/>
    <w:rsid w:val="00EF7B96"/>
    <w:pPr>
      <w:keepNext/>
      <w:spacing w:before="240" w:after="60"/>
      <w:outlineLvl w:val="2"/>
    </w:pPr>
    <w:rPr>
      <w:rFonts w:ascii="Times New Roman" w:eastAsia="Times New Roman" w:hAnsi="Times New Roman" w:cs="Times New Roman"/>
      <w:b/>
      <w:bCs/>
      <w:sz w:val="28"/>
      <w:szCs w:val="28"/>
    </w:rPr>
  </w:style>
  <w:style w:type="paragraph" w:styleId="Nadpis4">
    <w:name w:val="heading 4"/>
    <w:basedOn w:val="Normlny"/>
    <w:next w:val="Normlny"/>
    <w:qFormat/>
    <w:rsid w:val="00EF7B96"/>
    <w:pPr>
      <w:keepNext/>
      <w:spacing w:before="240" w:after="60"/>
      <w:outlineLvl w:val="3"/>
    </w:pPr>
    <w:rPr>
      <w:rFonts w:ascii="Times New Roman" w:eastAsia="Times New Roman" w:hAnsi="Times New Roman" w:cs="Times New Roman"/>
      <w:b/>
      <w:bCs/>
      <w:sz w:val="24"/>
      <w:szCs w:val="24"/>
    </w:rPr>
  </w:style>
  <w:style w:type="paragraph" w:styleId="Nadpis5">
    <w:name w:val="heading 5"/>
    <w:basedOn w:val="Normlny"/>
    <w:next w:val="Normlny"/>
    <w:qFormat/>
    <w:rsid w:val="00EF7B96"/>
    <w:pPr>
      <w:spacing w:before="240" w:after="60"/>
      <w:outlineLvl w:val="4"/>
    </w:pPr>
    <w:rPr>
      <w:rFonts w:ascii="Times New Roman" w:eastAsia="Times New Roman" w:hAnsi="Times New Roman" w:cs="Times New Roman"/>
      <w:b/>
      <w:bCs/>
      <w:iCs/>
      <w:sz w:val="20"/>
      <w:szCs w:val="20"/>
    </w:rPr>
  </w:style>
  <w:style w:type="paragraph" w:styleId="Nadpis6">
    <w:name w:val="heading 6"/>
    <w:basedOn w:val="Normlny"/>
    <w:next w:val="Normlny"/>
    <w:qFormat/>
    <w:rsid w:val="00EF7B96"/>
    <w:pPr>
      <w:spacing w:before="240" w:after="60"/>
      <w:outlineLvl w:val="5"/>
    </w:pPr>
    <w:rPr>
      <w:rFonts w:ascii="Times New Roman" w:eastAsia="Times New Roman" w:hAnsi="Times New Roman" w:cs="Times New Roman"/>
      <w:b/>
      <w:bCs/>
      <w:sz w:val="16"/>
      <w:szCs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opic-list-items">
    <w:name w:val="topic-list-items"/>
    <w:basedOn w:val="Normlny"/>
  </w:style>
  <w:style w:type="character" w:customStyle="1" w:styleId="link-url">
    <w:name w:val="link-url"/>
    <w:basedOn w:val="Predvolenpsmoodseku"/>
    <w:rPr>
      <w:color w:val="00A4DF"/>
      <w:sz w:val="18"/>
      <w:szCs w:val="18"/>
    </w:rPr>
  </w:style>
  <w:style w:type="character" w:styleId="Hypertextovprepojenie">
    <w:name w:val="Hyperlink"/>
    <w:basedOn w:val="Predvolenpsmoodseku"/>
    <w:rsid w:val="00EF7B96"/>
    <w:rPr>
      <w:color w:val="0000FF"/>
      <w:u w:val="single"/>
    </w:rPr>
  </w:style>
  <w:style w:type="paragraph" w:styleId="Bezriadkovania">
    <w:name w:val="No Spacing"/>
    <w:link w:val="BezriadkovaniaChar"/>
    <w:uiPriority w:val="1"/>
    <w:qFormat/>
    <w:rsid w:val="00546E85"/>
    <w:rPr>
      <w:rFonts w:asciiTheme="minorHAnsi" w:eastAsiaTheme="minorEastAsia" w:hAnsiTheme="minorHAnsi" w:cstheme="minorBidi"/>
      <w:sz w:val="22"/>
      <w:szCs w:val="22"/>
      <w:lang w:val="en-US" w:eastAsia="zh-CN"/>
    </w:rPr>
  </w:style>
  <w:style w:type="character" w:customStyle="1" w:styleId="BezriadkovaniaChar">
    <w:name w:val="Bez riadkovania Char"/>
    <w:basedOn w:val="Predvolenpsmoodseku"/>
    <w:link w:val="Bezriadkovania"/>
    <w:uiPriority w:val="1"/>
    <w:rsid w:val="00546E85"/>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ewtonone.newtonmedia.eu/sk-SK" TargetMode="External"/><Relationship Id="rId13" Type="http://schemas.openxmlformats.org/officeDocument/2006/relationships/hyperlink" Target="https://www.rno.sk/v-systeme-dualneho-vzdelavania-je-certifikovanych-14-pekarni/" TargetMode="External"/><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www.dnesky.sk/v-systeme-dualneho-vzdelavania-je-certifikovanych-14-pekarni/" TargetMode="External"/><Relationship Id="rId7" Type="http://schemas.openxmlformats.org/officeDocument/2006/relationships/image" Target="http://www.uppsr.sk/images/wrapper/logo.png" TargetMode="External"/><Relationship Id="rId12" Type="http://schemas.openxmlformats.org/officeDocument/2006/relationships/image" Target="media/image3.jpeg"/><Relationship Id="rId17" Type="http://schemas.openxmlformats.org/officeDocument/2006/relationships/hyperlink" Target="https://openiazoch.zoznam.sk/cl/195984/V-systeme-dualneho-vzdelavania-je-certifikovanych-pekarni" TargetMode="External"/><Relationship Id="rId25" Type="http://schemas.openxmlformats.org/officeDocument/2006/relationships/hyperlink" Target="https://ekonomika.sme.sk/c/22156611/system-dualne-vzdelavanie-strnast-pekarni-skolstvo-pekar.html"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hnonline.sk/expert/1978685-ziadost-o-zelenu-naftu-podavajte-len-elektronicky" TargetMode="External"/><Relationship Id="rId24" Type="http://schemas.openxmlformats.org/officeDocument/2006/relationships/image" Target="media/image9.jpeg"/><Relationship Id="rId5" Type="http://schemas.openxmlformats.org/officeDocument/2006/relationships/endnotes" Target="endnotes.xml"/><Relationship Id="rId15" Type="http://schemas.openxmlformats.org/officeDocument/2006/relationships/hyperlink" Target="https://www.dobrenoviny.sk/c/166886/v-systeme-dualneho-vzdelavania-je-certifikovanych-14-pekarni" TargetMode="External"/><Relationship Id="rId23" Type="http://schemas.openxmlformats.org/officeDocument/2006/relationships/hyperlink" Target="https://www.teraz.sk/ekonomika/v-systeme-dualneho-vzdelavania-je-cer/404344-clanok.html" TargetMode="External"/><Relationship Id="rId28" Type="http://schemas.openxmlformats.org/officeDocument/2006/relationships/theme" Target="theme/theme1.xml"/><Relationship Id="rId10" Type="http://schemas.openxmlformats.org/officeDocument/2006/relationships/hyperlink" Target="https://newtonone.newtonmedia.eu/sk-SK/monitoring/SK$OP-18-3036/page/1" TargetMode="External"/><Relationship Id="rId19" Type="http://schemas.openxmlformats.org/officeDocument/2006/relationships/hyperlink" Target="https://www.24hod.sk/v-systeme-dualneho-vzdelavania-je-certifikovanych-14-pekarni-cl688193.html"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4534</Words>
  <Characters>25847</Characters>
  <Application>Microsoft Office Word</Application>
  <DocSecurity>0</DocSecurity>
  <Lines>215</Lines>
  <Paragraphs>60</Paragraphs>
  <ScaleCrop>false</ScaleCrop>
  <Company/>
  <LinksUpToDate>false</LinksUpToDate>
  <CharactersWithSpaces>30321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Nextina</dc:title>
  <cp:lastModifiedBy>Paulina Nedavaskova</cp:lastModifiedBy>
  <cp:revision>2</cp:revision>
  <dcterms:created xsi:type="dcterms:W3CDTF">2019-07-26T10:38:00Z</dcterms:created>
  <dcterms:modified xsi:type="dcterms:W3CDTF">2019-07-26T10:38:00Z</dcterms:modified>
</cp:coreProperties>
</file>